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A566497" w:rsidR="00A2208A" w:rsidRPr="00037AB8" w:rsidRDefault="00F002EE" w:rsidP="00A2208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 xml:space="preserve">3GPP TSG RAN WG5 </w:t>
      </w:r>
      <w:r w:rsidR="006B5C72" w:rsidRPr="00037AB8">
        <w:rPr>
          <w:rFonts w:eastAsia="Malgun Gothic"/>
          <w:b/>
          <w:bCs/>
          <w:sz w:val="28"/>
        </w:rPr>
        <w:t>#</w:t>
      </w:r>
      <w:r w:rsidR="00997FE5">
        <w:rPr>
          <w:rFonts w:eastAsia="Malgun Gothic"/>
          <w:b/>
          <w:bCs/>
          <w:sz w:val="28"/>
        </w:rPr>
        <w:t>8</w:t>
      </w:r>
      <w:r w:rsidR="00153F93">
        <w:rPr>
          <w:rFonts w:eastAsia="Malgun Gothic"/>
          <w:b/>
          <w:bCs/>
          <w:sz w:val="28"/>
        </w:rPr>
        <w:t>4</w:t>
      </w:r>
      <w:r w:rsidR="00997FE5">
        <w:rPr>
          <w:rFonts w:eastAsia="Malgun Gothic"/>
          <w:b/>
          <w:bCs/>
          <w:sz w:val="28"/>
        </w:rPr>
        <w:t xml:space="preserve"> Meeting</w:t>
      </w:r>
      <w:r w:rsidR="00BC6E8D" w:rsidRPr="00037AB8">
        <w:rPr>
          <w:rFonts w:eastAsia="Malgun Gothic"/>
          <w:b/>
          <w:bCs/>
          <w:sz w:val="28"/>
        </w:rPr>
        <w:tab/>
      </w:r>
      <w:r w:rsidR="00A2208A" w:rsidRPr="00037AB8">
        <w:rPr>
          <w:rFonts w:eastAsia="Malgun Gothic"/>
          <w:b/>
          <w:bCs/>
          <w:sz w:val="28"/>
        </w:rPr>
        <w:t>R5-1</w:t>
      </w:r>
      <w:r w:rsidR="00C94B58" w:rsidRPr="00037AB8">
        <w:rPr>
          <w:rFonts w:eastAsia="Malgun Gothic"/>
          <w:b/>
          <w:bCs/>
          <w:sz w:val="28"/>
        </w:rPr>
        <w:t>9</w:t>
      </w:r>
      <w:r w:rsidR="00024DA5">
        <w:rPr>
          <w:rFonts w:eastAsia="Malgun Gothic"/>
          <w:b/>
          <w:bCs/>
          <w:sz w:val="28"/>
        </w:rPr>
        <w:t>6851</w:t>
      </w:r>
    </w:p>
    <w:p w14:paraId="4A54CA72" w14:textId="13D9A31F" w:rsidR="00A2208A" w:rsidRPr="00037AB8" w:rsidRDefault="00153F93"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009C4B66" w:rsidRPr="00037AB8">
        <w:rPr>
          <w:rFonts w:eastAsia="Malgun Gothic"/>
          <w:b/>
          <w:bCs/>
          <w:sz w:val="28"/>
          <w:lang w:eastAsia="ko-KR"/>
        </w:rPr>
        <w:t xml:space="preserve">, </w:t>
      </w:r>
      <w:r>
        <w:rPr>
          <w:rFonts w:eastAsia="Malgun Gothic"/>
          <w:b/>
          <w:bCs/>
          <w:sz w:val="28"/>
          <w:lang w:eastAsia="ko-KR"/>
        </w:rPr>
        <w:t>Slovenia</w:t>
      </w:r>
      <w:r w:rsidR="009C4B66" w:rsidRPr="00037AB8">
        <w:rPr>
          <w:rFonts w:eastAsia="Malgun Gothic"/>
          <w:b/>
          <w:bCs/>
          <w:sz w:val="28"/>
          <w:lang w:eastAsia="ko-KR"/>
        </w:rPr>
        <w:t xml:space="preserve">, </w:t>
      </w:r>
      <w:r>
        <w:rPr>
          <w:rFonts w:eastAsia="Malgun Gothic"/>
          <w:b/>
          <w:bCs/>
          <w:sz w:val="28"/>
          <w:lang w:eastAsia="ko-KR"/>
        </w:rPr>
        <w:t>26</w:t>
      </w:r>
      <w:r w:rsidR="006B5C72" w:rsidRPr="00037AB8">
        <w:rPr>
          <w:rFonts w:eastAsia="Malgun Gothic"/>
          <w:b/>
          <w:bCs/>
          <w:sz w:val="28"/>
          <w:vertAlign w:val="superscript"/>
          <w:lang w:eastAsia="ko-KR"/>
        </w:rPr>
        <w:t>t</w:t>
      </w:r>
      <w:r w:rsidR="009C4B66" w:rsidRPr="00037AB8">
        <w:rPr>
          <w:rFonts w:eastAsia="Malgun Gothic"/>
          <w:b/>
          <w:bCs/>
          <w:sz w:val="28"/>
          <w:vertAlign w:val="superscript"/>
          <w:lang w:eastAsia="ko-KR"/>
        </w:rPr>
        <w:t>h</w:t>
      </w:r>
      <w:r w:rsidR="00725DCB" w:rsidRPr="00037AB8">
        <w:rPr>
          <w:rFonts w:eastAsia="Malgun Gothic"/>
          <w:b/>
          <w:bCs/>
          <w:sz w:val="28"/>
          <w:lang w:eastAsia="ko-KR"/>
        </w:rPr>
        <w:t xml:space="preserve"> </w:t>
      </w:r>
      <w:r w:rsidR="00670DF8" w:rsidRPr="00037AB8">
        <w:rPr>
          <w:rFonts w:eastAsia="Malgun Gothic"/>
          <w:b/>
          <w:bCs/>
          <w:sz w:val="28"/>
          <w:lang w:eastAsia="ko-KR"/>
        </w:rPr>
        <w:t xml:space="preserve">– </w:t>
      </w:r>
      <w:r>
        <w:rPr>
          <w:rFonts w:eastAsia="Malgun Gothic"/>
          <w:b/>
          <w:bCs/>
          <w:sz w:val="28"/>
          <w:lang w:eastAsia="ko-KR"/>
        </w:rPr>
        <w:t>30</w:t>
      </w:r>
      <w:r w:rsidR="00670DF8" w:rsidRPr="00037AB8">
        <w:rPr>
          <w:rFonts w:eastAsia="Malgun Gothic"/>
          <w:b/>
          <w:bCs/>
          <w:sz w:val="28"/>
          <w:vertAlign w:val="superscript"/>
          <w:lang w:eastAsia="ko-KR"/>
        </w:rPr>
        <w:t>th</w:t>
      </w:r>
      <w:r w:rsidR="00670DF8" w:rsidRPr="00037AB8">
        <w:rPr>
          <w:rFonts w:eastAsia="Malgun Gothic"/>
          <w:b/>
          <w:bCs/>
          <w:sz w:val="28"/>
          <w:lang w:eastAsia="ko-KR"/>
        </w:rPr>
        <w:t xml:space="preserve"> </w:t>
      </w:r>
      <w:r>
        <w:rPr>
          <w:rFonts w:eastAsia="Malgun Gothic"/>
          <w:b/>
          <w:bCs/>
          <w:sz w:val="28"/>
          <w:lang w:eastAsia="ko-KR"/>
        </w:rPr>
        <w:t>August</w:t>
      </w:r>
      <w:r w:rsidR="00670DF8" w:rsidRPr="00037AB8">
        <w:rPr>
          <w:rFonts w:eastAsia="Malgun Gothic"/>
          <w:b/>
          <w:bCs/>
          <w:sz w:val="28"/>
          <w:lang w:eastAsia="ko-KR"/>
        </w:rPr>
        <w:t xml:space="preserve"> </w:t>
      </w:r>
      <w:r w:rsidR="006B5C72" w:rsidRPr="00037AB8">
        <w:rPr>
          <w:rFonts w:eastAsia="Malgun Gothic"/>
          <w:b/>
          <w:bCs/>
          <w:sz w:val="28"/>
          <w:lang w:eastAsia="ko-KR"/>
        </w:rPr>
        <w:t>2019</w:t>
      </w:r>
    </w:p>
    <w:p w14:paraId="31E7553A" w14:textId="77777777" w:rsidR="00A2208A" w:rsidRPr="00037AB8" w:rsidRDefault="00A2208A" w:rsidP="00A2208A">
      <w:pPr>
        <w:rPr>
          <w:bCs/>
        </w:rPr>
      </w:pPr>
      <w:r w:rsidRPr="00037AB8">
        <w:rPr>
          <w:b/>
        </w:rPr>
        <w:t>Source:</w:t>
      </w:r>
      <w:r w:rsidRPr="00037AB8">
        <w:rPr>
          <w:b/>
        </w:rPr>
        <w:tab/>
      </w:r>
      <w:r w:rsidRPr="00037AB8">
        <w:rPr>
          <w:b/>
        </w:rPr>
        <w:tab/>
      </w:r>
      <w:r w:rsidRPr="00037AB8">
        <w:t>Rohde &amp; Schwarz</w:t>
      </w:r>
    </w:p>
    <w:p w14:paraId="12BD556F" w14:textId="5AFEFF0C" w:rsidR="00A2208A" w:rsidRPr="00037AB8" w:rsidRDefault="00A2208A" w:rsidP="00A2208A">
      <w:pPr>
        <w:ind w:left="2160" w:hanging="2160"/>
      </w:pPr>
      <w:r w:rsidRPr="00037AB8">
        <w:rPr>
          <w:b/>
        </w:rPr>
        <w:t>Title:</w:t>
      </w:r>
      <w:r w:rsidRPr="00037AB8">
        <w:rPr>
          <w:b/>
        </w:rPr>
        <w:tab/>
      </w:r>
      <w:r w:rsidR="00153F93" w:rsidRPr="00153F93">
        <w:t>Discussion on FR2 Demod MU contributors</w:t>
      </w:r>
    </w:p>
    <w:p w14:paraId="0483421E" w14:textId="47949D36" w:rsidR="00A2208A" w:rsidRPr="00037AB8" w:rsidRDefault="00A2208A" w:rsidP="00A2208A">
      <w:pPr>
        <w:rPr>
          <w:bCs/>
          <w:lang w:eastAsia="ja-JP"/>
        </w:rPr>
      </w:pPr>
      <w:r w:rsidRPr="00037AB8">
        <w:rPr>
          <w:b/>
        </w:rPr>
        <w:t>Agenda Item:</w:t>
      </w:r>
      <w:r w:rsidR="00BB2F5E" w:rsidRPr="00037AB8">
        <w:tab/>
      </w:r>
      <w:r w:rsidR="00BB2F5E" w:rsidRPr="00037AB8">
        <w:tab/>
      </w:r>
      <w:r w:rsidR="00997FE5" w:rsidRPr="00997FE5">
        <w:t>5.3.5.17</w:t>
      </w:r>
    </w:p>
    <w:p w14:paraId="4359BC04" w14:textId="2B2F0FFE" w:rsidR="00ED78C3" w:rsidRPr="00ED78C3" w:rsidRDefault="00A2208A" w:rsidP="00A2208A">
      <w:r w:rsidRPr="00037AB8">
        <w:rPr>
          <w:b/>
        </w:rPr>
        <w:t>Document for:</w:t>
      </w:r>
      <w:r w:rsidRPr="00037AB8">
        <w:tab/>
        <w:t>Endorsement</w:t>
      </w:r>
    </w:p>
    <w:p w14:paraId="7CA60390" w14:textId="77777777" w:rsidR="00B81FC7" w:rsidRPr="00037AB8" w:rsidRDefault="00B81FC7" w:rsidP="00B81FC7">
      <w:pPr>
        <w:pStyle w:val="berschrift1"/>
        <w:rPr>
          <w:rFonts w:cs="Arial"/>
          <w:lang w:val="en-US"/>
        </w:rPr>
      </w:pPr>
      <w:r w:rsidRPr="00037AB8">
        <w:rPr>
          <w:rFonts w:cs="Arial"/>
          <w:lang w:val="en-US"/>
        </w:rPr>
        <w:t>Introduction</w:t>
      </w:r>
    </w:p>
    <w:p w14:paraId="426B42D8" w14:textId="61F8709E" w:rsidR="00ED78C3" w:rsidRPr="00037AB8" w:rsidRDefault="00E512D5" w:rsidP="008159B1">
      <w:pPr>
        <w:jc w:val="both"/>
      </w:pPr>
      <w:bookmarkStart w:id="0" w:name="OLE_LINK10"/>
      <w:bookmarkStart w:id="1" w:name="OLE_LINK11"/>
      <w:r>
        <w:t>At RAN5 #</w:t>
      </w:r>
      <w:r w:rsidR="00153F93">
        <w:t>83</w:t>
      </w:r>
      <w:r w:rsidR="00D041C2">
        <w:t>,</w:t>
      </w:r>
      <w:r w:rsidR="00153F93">
        <w:t xml:space="preserve"> a way forward on </w:t>
      </w:r>
      <w:r w:rsidR="00153F93" w:rsidRPr="00153F93">
        <w:t>FR2 Demod MU</w:t>
      </w:r>
      <w:r w:rsidR="00153F93">
        <w:t xml:space="preserve"> has been agreed [1] in which one target is to provide a list of contributors affecting the measurement uncertainty (MU) of FR2 demod test cases. In this paper, we discuss MU contributors based on the factors defined in TS 36.521-1 [2], TR 37.977 [3] and CTIA MIMO OTA Test Plan [4] in order to complement those of the EIS test case in TR 38.903 [5].</w:t>
      </w:r>
      <w:r>
        <w:t xml:space="preserve"> </w:t>
      </w:r>
    </w:p>
    <w:p w14:paraId="59D92B3E" w14:textId="3465C3B2" w:rsidR="00FC45FA" w:rsidRDefault="00BC6E8D" w:rsidP="00FC45FA">
      <w:pPr>
        <w:pStyle w:val="berschrift1"/>
        <w:rPr>
          <w:lang w:val="en-US"/>
        </w:rPr>
      </w:pPr>
      <w:r w:rsidRPr="00037AB8">
        <w:rPr>
          <w:lang w:val="en-US"/>
        </w:rPr>
        <w:t>Discussion</w:t>
      </w:r>
    </w:p>
    <w:p w14:paraId="3F115BB5" w14:textId="33B5919C" w:rsidR="0079136A" w:rsidRDefault="00810312" w:rsidP="00810312">
      <w:pPr>
        <w:pStyle w:val="berschrift2"/>
      </w:pPr>
      <w:r w:rsidRPr="00810312">
        <w:rPr>
          <w:lang w:val="en-US"/>
        </w:rPr>
        <w:t xml:space="preserve"> MU contributors for FR2 Demod test cases</w:t>
      </w:r>
    </w:p>
    <w:p w14:paraId="2D70E0F0" w14:textId="319D960B" w:rsidR="0079136A" w:rsidRDefault="0079136A" w:rsidP="0079136A">
      <w:pPr>
        <w:rPr>
          <w:lang w:eastAsia="en-US"/>
        </w:rPr>
      </w:pPr>
      <w:r>
        <w:rPr>
          <w:lang w:eastAsia="en-US"/>
        </w:rPr>
        <w:t>For LTE, the MU for conducted performance test cases and reporting of Channel State Information test cases are defined in Annex F.1.4 and F.1.5 of TS 36.521-1 [2], respectively. Depending on the test case details, a sub set of the following contributors are considered:</w:t>
      </w:r>
    </w:p>
    <w:p w14:paraId="6F6BDE94" w14:textId="0FC231CA" w:rsidR="0079136A" w:rsidRDefault="0079136A" w:rsidP="0079136A">
      <w:pPr>
        <w:pStyle w:val="Listenabsatz"/>
        <w:numPr>
          <w:ilvl w:val="0"/>
          <w:numId w:val="6"/>
        </w:numPr>
        <w:rPr>
          <w:rFonts w:ascii="Arial" w:hAnsi="Arial" w:cs="Arial"/>
          <w:sz w:val="22"/>
        </w:rPr>
      </w:pPr>
      <w:r w:rsidRPr="0079136A">
        <w:rPr>
          <w:rFonts w:ascii="Arial" w:hAnsi="Arial" w:cs="Arial"/>
          <w:sz w:val="22"/>
        </w:rPr>
        <w:t>Signal-</w:t>
      </w:r>
      <w:proofErr w:type="spellStart"/>
      <w:r w:rsidRPr="0079136A">
        <w:rPr>
          <w:rFonts w:ascii="Arial" w:hAnsi="Arial" w:cs="Arial"/>
          <w:sz w:val="22"/>
        </w:rPr>
        <w:t>to</w:t>
      </w:r>
      <w:proofErr w:type="spellEnd"/>
      <w:r w:rsidRPr="0079136A">
        <w:rPr>
          <w:rFonts w:ascii="Arial" w:hAnsi="Arial" w:cs="Arial"/>
          <w:sz w:val="22"/>
        </w:rPr>
        <w:t>-</w:t>
      </w:r>
      <w:proofErr w:type="spellStart"/>
      <w:r w:rsidRPr="0079136A">
        <w:rPr>
          <w:rFonts w:ascii="Arial" w:hAnsi="Arial" w:cs="Arial"/>
          <w:sz w:val="22"/>
        </w:rPr>
        <w:t>noise</w:t>
      </w:r>
      <w:proofErr w:type="spellEnd"/>
      <w:r w:rsidRPr="0079136A">
        <w:rPr>
          <w:rFonts w:ascii="Arial" w:hAnsi="Arial" w:cs="Arial"/>
          <w:sz w:val="22"/>
        </w:rPr>
        <w:t xml:space="preserve"> </w:t>
      </w:r>
      <w:proofErr w:type="spellStart"/>
      <w:r w:rsidRPr="0079136A">
        <w:rPr>
          <w:rFonts w:ascii="Arial" w:hAnsi="Arial" w:cs="Arial"/>
          <w:sz w:val="22"/>
        </w:rPr>
        <w:t>ratio</w:t>
      </w:r>
      <w:proofErr w:type="spellEnd"/>
      <w:r w:rsidRPr="0079136A">
        <w:rPr>
          <w:rFonts w:ascii="Arial" w:hAnsi="Arial" w:cs="Arial"/>
          <w:sz w:val="22"/>
        </w:rPr>
        <w:t xml:space="preserve"> </w:t>
      </w:r>
      <w:proofErr w:type="spellStart"/>
      <w:r w:rsidRPr="0079136A">
        <w:rPr>
          <w:rFonts w:ascii="Arial" w:hAnsi="Arial" w:cs="Arial"/>
          <w:sz w:val="22"/>
        </w:rPr>
        <w:t>uncertainty</w:t>
      </w:r>
      <w:proofErr w:type="spellEnd"/>
    </w:p>
    <w:p w14:paraId="27FCC124" w14:textId="074AD937" w:rsidR="0079136A" w:rsidRDefault="0079136A" w:rsidP="0079136A">
      <w:pPr>
        <w:pStyle w:val="Listenabsatz"/>
        <w:numPr>
          <w:ilvl w:val="0"/>
          <w:numId w:val="6"/>
        </w:numPr>
        <w:rPr>
          <w:rFonts w:ascii="Arial" w:hAnsi="Arial" w:cs="Arial"/>
          <w:sz w:val="22"/>
          <w:lang w:val="en-US"/>
        </w:rPr>
      </w:pPr>
      <w:r w:rsidRPr="0079136A">
        <w:rPr>
          <w:rFonts w:ascii="Arial" w:hAnsi="Arial" w:cs="Arial"/>
          <w:sz w:val="22"/>
          <w:lang w:val="en-US"/>
        </w:rPr>
        <w:t>Average Signal-to-noise ratio uncertainty</w:t>
      </w:r>
    </w:p>
    <w:p w14:paraId="5D7BD66A" w14:textId="6904AB7A" w:rsidR="0079136A" w:rsidRPr="0079136A" w:rsidRDefault="0079136A" w:rsidP="0079136A">
      <w:pPr>
        <w:pStyle w:val="Listenabsatz"/>
        <w:numPr>
          <w:ilvl w:val="0"/>
          <w:numId w:val="6"/>
        </w:numPr>
        <w:rPr>
          <w:rFonts w:ascii="Arial" w:hAnsi="Arial" w:cs="Arial"/>
          <w:sz w:val="22"/>
          <w:lang w:val="en-US"/>
        </w:rPr>
      </w:pPr>
      <w:r w:rsidRPr="0079136A">
        <w:rPr>
          <w:rFonts w:ascii="Arial" w:hAnsi="Arial" w:cs="Arial"/>
          <w:sz w:val="22"/>
          <w:lang w:val="en-US"/>
        </w:rPr>
        <w:t>Signal-to noise ratio variation for single PRB</w:t>
      </w:r>
    </w:p>
    <w:p w14:paraId="1846D52B" w14:textId="5BEE3196" w:rsidR="0079136A" w:rsidRPr="0079136A" w:rsidRDefault="0079136A" w:rsidP="0079136A">
      <w:pPr>
        <w:pStyle w:val="Listenabsatz"/>
        <w:numPr>
          <w:ilvl w:val="0"/>
          <w:numId w:val="6"/>
        </w:numPr>
        <w:rPr>
          <w:rFonts w:ascii="Arial" w:hAnsi="Arial" w:cs="Arial"/>
          <w:sz w:val="22"/>
          <w:lang w:val="en-US"/>
        </w:rPr>
      </w:pPr>
      <w:r w:rsidRPr="0079136A">
        <w:rPr>
          <w:rFonts w:ascii="Arial" w:hAnsi="Arial" w:cs="Arial"/>
          <w:sz w:val="22"/>
          <w:lang w:val="en-US"/>
        </w:rPr>
        <w:t>Fading profile power uncertainty (for single Tx</w:t>
      </w:r>
      <w:r>
        <w:rPr>
          <w:rFonts w:ascii="Arial" w:hAnsi="Arial" w:cs="Arial"/>
          <w:sz w:val="22"/>
          <w:lang w:val="en-US"/>
        </w:rPr>
        <w:t>, for Tx Diversity, for MIMO etc.)</w:t>
      </w:r>
    </w:p>
    <w:p w14:paraId="039A1432" w14:textId="26F8F1B7" w:rsidR="0079136A" w:rsidRDefault="0079136A" w:rsidP="0079136A">
      <w:pPr>
        <w:pStyle w:val="Listenabsatz"/>
        <w:numPr>
          <w:ilvl w:val="0"/>
          <w:numId w:val="6"/>
        </w:numPr>
        <w:rPr>
          <w:rFonts w:ascii="Arial" w:hAnsi="Arial" w:cs="Arial"/>
          <w:sz w:val="22"/>
          <w:lang w:val="en-US"/>
        </w:rPr>
      </w:pPr>
      <w:r w:rsidRPr="0079136A">
        <w:rPr>
          <w:rFonts w:ascii="Arial" w:hAnsi="Arial" w:cs="Arial"/>
          <w:sz w:val="22"/>
          <w:lang w:val="en-US"/>
        </w:rPr>
        <w:t>Effect of AWGN flatness and signal flatness</w:t>
      </w:r>
    </w:p>
    <w:p w14:paraId="3838F56A" w14:textId="238B0697" w:rsidR="0079136A" w:rsidRDefault="0079136A" w:rsidP="0079136A">
      <w:pPr>
        <w:pStyle w:val="Listenabsatz"/>
        <w:numPr>
          <w:ilvl w:val="0"/>
          <w:numId w:val="6"/>
        </w:numPr>
        <w:rPr>
          <w:rFonts w:ascii="Arial" w:hAnsi="Arial" w:cs="Arial"/>
          <w:sz w:val="22"/>
          <w:lang w:val="en-US"/>
        </w:rPr>
      </w:pPr>
      <w:r w:rsidRPr="0079136A">
        <w:rPr>
          <w:rFonts w:ascii="Arial" w:hAnsi="Arial" w:cs="Arial"/>
          <w:sz w:val="22"/>
          <w:lang w:val="en-US"/>
        </w:rPr>
        <w:t>Result variation due to finite test time</w:t>
      </w:r>
    </w:p>
    <w:p w14:paraId="27889597" w14:textId="77777777" w:rsidR="00A561C1" w:rsidRPr="00A561C1" w:rsidRDefault="00A561C1" w:rsidP="00A561C1">
      <w:pPr>
        <w:pStyle w:val="Listenabsatz"/>
        <w:numPr>
          <w:ilvl w:val="0"/>
          <w:numId w:val="0"/>
        </w:numPr>
        <w:ind w:left="720"/>
        <w:rPr>
          <w:rFonts w:ascii="Arial" w:hAnsi="Arial" w:cs="Arial"/>
          <w:sz w:val="22"/>
          <w:lang w:val="en-US"/>
        </w:rPr>
      </w:pPr>
    </w:p>
    <w:p w14:paraId="028F1CFE" w14:textId="10846CE3" w:rsidR="0079136A" w:rsidRPr="0079136A" w:rsidRDefault="0079136A" w:rsidP="0079136A">
      <w:pPr>
        <w:rPr>
          <w:lang w:eastAsia="en-US"/>
        </w:rPr>
      </w:pPr>
      <w:r w:rsidRPr="0079136A">
        <w:rPr>
          <w:lang w:eastAsia="en-US"/>
        </w:rPr>
        <w:t>In</w:t>
      </w:r>
      <w:r>
        <w:rPr>
          <w:lang w:eastAsia="en-US"/>
        </w:rPr>
        <w:t xml:space="preserve"> addition the following test system uncertainties and related constraints</w:t>
      </w:r>
      <w:r w:rsidRPr="0079136A">
        <w:rPr>
          <w:lang w:eastAsia="en-US"/>
        </w:rPr>
        <w:t xml:space="preserve"> </w:t>
      </w:r>
      <w:r>
        <w:rPr>
          <w:lang w:eastAsia="en-US"/>
        </w:rPr>
        <w:t>apply:</w:t>
      </w:r>
    </w:p>
    <w:p w14:paraId="74452D4E" w14:textId="015FC7FA" w:rsidR="0079136A" w:rsidRDefault="0079136A" w:rsidP="0079136A">
      <w:pPr>
        <w:rPr>
          <w:sz w:val="18"/>
          <w:szCs w:val="18"/>
          <w:lang w:eastAsia="de-DE"/>
        </w:rPr>
      </w:pPr>
    </w:p>
    <w:p w14:paraId="35CE739A" w14:textId="7D820371" w:rsidR="00177009" w:rsidRDefault="00177009" w:rsidP="00177009">
      <w:pPr>
        <w:pStyle w:val="Beschriftung"/>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Excerpt from Table </w:t>
      </w:r>
      <w:r w:rsidRPr="00177009">
        <w:t>F.1.4-1</w:t>
      </w:r>
      <w:r>
        <w:t xml:space="preserve"> of TS 36.521-1 (</w:t>
      </w:r>
      <w:r w:rsidRPr="00177009">
        <w:t>Maximum Test System Uncertainty for Performance Requirements</w:t>
      </w:r>
      <w:r>
        <w:t>)</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4"/>
        <w:gridCol w:w="3863"/>
      </w:tblGrid>
      <w:tr w:rsidR="0079136A" w:rsidRPr="0079136A" w14:paraId="13DD2447" w14:textId="77777777" w:rsidTr="007A1300">
        <w:trPr>
          <w:cantSplit/>
          <w:jc w:val="center"/>
        </w:trPr>
        <w:tc>
          <w:tcPr>
            <w:tcW w:w="5564" w:type="dxa"/>
            <w:shd w:val="clear" w:color="auto" w:fill="D9D9D9" w:themeFill="background1" w:themeFillShade="D9"/>
          </w:tcPr>
          <w:p w14:paraId="31BB1113"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AWGN Bandwidth</w:t>
            </w:r>
          </w:p>
        </w:tc>
        <w:tc>
          <w:tcPr>
            <w:tcW w:w="3863" w:type="dxa"/>
            <w:shd w:val="clear" w:color="auto" w:fill="D9D9D9" w:themeFill="background1" w:themeFillShade="D9"/>
          </w:tcPr>
          <w:p w14:paraId="708AE462"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sz w:val="18"/>
                <w:szCs w:val="20"/>
                <w:lang w:val="en-GB" w:eastAsia="en-US"/>
              </w:rPr>
              <w:t xml:space="preserve">≥ </w:t>
            </w:r>
            <w:r w:rsidRPr="0079136A">
              <w:rPr>
                <w:rFonts w:eastAsia="Batang" w:cs="Times New Roman"/>
                <w:sz w:val="18"/>
                <w:szCs w:val="20"/>
                <w:lang w:val="en-GB" w:eastAsia="en-US"/>
              </w:rPr>
              <w:t>1.08MHz, 2.7MHz, 4.5MHz, 9MHz, 13.5MHz, 18MHz;</w:t>
            </w:r>
          </w:p>
          <w:p w14:paraId="1B6885AE"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N</w:t>
            </w:r>
            <w:r w:rsidRPr="0079136A">
              <w:rPr>
                <w:rFonts w:eastAsia="Batang" w:cs="Times New Roman"/>
                <w:sz w:val="18"/>
                <w:szCs w:val="20"/>
                <w:vertAlign w:val="subscript"/>
                <w:lang w:val="en-GB" w:eastAsia="en-US"/>
              </w:rPr>
              <w:t>RB</w:t>
            </w:r>
            <w:r w:rsidRPr="0079136A">
              <w:rPr>
                <w:rFonts w:eastAsia="Batang" w:cs="Times New Roman"/>
                <w:sz w:val="18"/>
                <w:szCs w:val="20"/>
                <w:lang w:val="en-GB" w:eastAsia="en-US"/>
              </w:rPr>
              <w:t xml:space="preserve"> x 180kHz according to </w:t>
            </w:r>
            <w:proofErr w:type="spellStart"/>
            <w:r w:rsidRPr="0079136A">
              <w:rPr>
                <w:rFonts w:eastAsia="Batang" w:cs="Times New Roman"/>
                <w:sz w:val="18"/>
                <w:szCs w:val="20"/>
                <w:lang w:val="en-GB" w:eastAsia="en-US"/>
              </w:rPr>
              <w:t>BW</w:t>
            </w:r>
            <w:r w:rsidRPr="0079136A">
              <w:rPr>
                <w:rFonts w:eastAsia="Batang" w:cs="Times New Roman"/>
                <w:sz w:val="18"/>
                <w:szCs w:val="20"/>
                <w:vertAlign w:val="subscript"/>
                <w:lang w:val="en-GB" w:eastAsia="en-US"/>
              </w:rPr>
              <w:t>Config</w:t>
            </w:r>
            <w:proofErr w:type="spellEnd"/>
          </w:p>
        </w:tc>
      </w:tr>
      <w:tr w:rsidR="0079136A" w:rsidRPr="0079136A" w14:paraId="6424D41A" w14:textId="77777777" w:rsidTr="007A1300">
        <w:trPr>
          <w:cantSplit/>
          <w:jc w:val="center"/>
        </w:trPr>
        <w:tc>
          <w:tcPr>
            <w:tcW w:w="5564" w:type="dxa"/>
            <w:shd w:val="clear" w:color="auto" w:fill="D9D9D9" w:themeFill="background1" w:themeFillShade="D9"/>
          </w:tcPr>
          <w:p w14:paraId="25C576E2"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 xml:space="preserve">AWGN absolute power uncertainty, averaged over </w:t>
            </w:r>
            <w:proofErr w:type="spellStart"/>
            <w:r w:rsidRPr="0079136A">
              <w:rPr>
                <w:rFonts w:eastAsia="Batang" w:cs="Times New Roman"/>
                <w:sz w:val="18"/>
                <w:szCs w:val="20"/>
                <w:lang w:val="en-GB" w:eastAsia="en-US"/>
              </w:rPr>
              <w:t>BW</w:t>
            </w:r>
            <w:r w:rsidRPr="0079136A">
              <w:rPr>
                <w:rFonts w:eastAsia="Batang" w:cs="Times New Roman"/>
                <w:sz w:val="18"/>
                <w:szCs w:val="20"/>
                <w:vertAlign w:val="subscript"/>
                <w:lang w:val="en-GB" w:eastAsia="en-US"/>
              </w:rPr>
              <w:t>Config</w:t>
            </w:r>
            <w:proofErr w:type="spellEnd"/>
            <w:r w:rsidRPr="0079136A">
              <w:rPr>
                <w:rFonts w:eastAsia="Batang" w:cs="Times New Roman"/>
                <w:sz w:val="18"/>
                <w:szCs w:val="20"/>
                <w:vertAlign w:val="subscript"/>
                <w:lang w:val="en-GB" w:eastAsia="en-US"/>
              </w:rPr>
              <w:t xml:space="preserve"> </w:t>
            </w:r>
            <w:r w:rsidRPr="0079136A">
              <w:rPr>
                <w:rFonts w:eastAsia="Batang" w:cs="Times New Roman"/>
                <w:sz w:val="18"/>
                <w:szCs w:val="20"/>
                <w:vertAlign w:val="superscript"/>
                <w:lang w:val="en-GB" w:eastAsia="en-US"/>
              </w:rPr>
              <w:t>Note 4</w:t>
            </w:r>
          </w:p>
        </w:tc>
        <w:tc>
          <w:tcPr>
            <w:tcW w:w="3863" w:type="dxa"/>
            <w:shd w:val="clear" w:color="auto" w:fill="D9D9D9" w:themeFill="background1" w:themeFillShade="D9"/>
          </w:tcPr>
          <w:p w14:paraId="236E93B2"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±3 dB</w:t>
            </w:r>
          </w:p>
        </w:tc>
      </w:tr>
      <w:tr w:rsidR="0079136A" w:rsidRPr="0079136A" w14:paraId="13B77289" w14:textId="77777777" w:rsidTr="007A1300">
        <w:trPr>
          <w:cantSplit/>
          <w:jc w:val="center"/>
        </w:trPr>
        <w:tc>
          <w:tcPr>
            <w:tcW w:w="5564" w:type="dxa"/>
            <w:shd w:val="clear" w:color="auto" w:fill="D9D9D9" w:themeFill="background1" w:themeFillShade="D9"/>
            <w:vAlign w:val="center"/>
          </w:tcPr>
          <w:p w14:paraId="73E9CB60"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 xml:space="preserve">AWGN flatness and signal flatness, max deviation for any Resource Block, relative to average over </w:t>
            </w:r>
            <w:proofErr w:type="spellStart"/>
            <w:r w:rsidRPr="0079136A">
              <w:rPr>
                <w:rFonts w:eastAsia="Batang" w:cs="Times New Roman"/>
                <w:sz w:val="18"/>
                <w:szCs w:val="20"/>
                <w:lang w:val="en-GB" w:eastAsia="en-US"/>
              </w:rPr>
              <w:t>BW</w:t>
            </w:r>
            <w:r w:rsidRPr="0079136A">
              <w:rPr>
                <w:rFonts w:eastAsia="Batang" w:cs="Times New Roman"/>
                <w:sz w:val="18"/>
                <w:szCs w:val="20"/>
                <w:vertAlign w:val="subscript"/>
                <w:lang w:val="en-GB" w:eastAsia="en-US"/>
              </w:rPr>
              <w:t>Config</w:t>
            </w:r>
            <w:proofErr w:type="spellEnd"/>
          </w:p>
        </w:tc>
        <w:tc>
          <w:tcPr>
            <w:tcW w:w="3863" w:type="dxa"/>
            <w:shd w:val="clear" w:color="auto" w:fill="D9D9D9" w:themeFill="background1" w:themeFillShade="D9"/>
          </w:tcPr>
          <w:p w14:paraId="6B2C0B39"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±2 dB</w:t>
            </w:r>
          </w:p>
        </w:tc>
      </w:tr>
      <w:tr w:rsidR="0079136A" w:rsidRPr="0079136A" w14:paraId="1CD09FEE" w14:textId="77777777" w:rsidTr="007A1300">
        <w:trPr>
          <w:cantSplit/>
          <w:jc w:val="center"/>
        </w:trPr>
        <w:tc>
          <w:tcPr>
            <w:tcW w:w="5564" w:type="dxa"/>
            <w:shd w:val="clear" w:color="auto" w:fill="D9D9D9" w:themeFill="background1" w:themeFillShade="D9"/>
            <w:vAlign w:val="center"/>
          </w:tcPr>
          <w:p w14:paraId="7FB1A9BD"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 xml:space="preserve">AWGN peak to average ratio </w:t>
            </w:r>
          </w:p>
        </w:tc>
        <w:tc>
          <w:tcPr>
            <w:tcW w:w="3863" w:type="dxa"/>
            <w:shd w:val="clear" w:color="auto" w:fill="D9D9D9" w:themeFill="background1" w:themeFillShade="D9"/>
          </w:tcPr>
          <w:p w14:paraId="5DC9ABCC"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sz w:val="18"/>
                <w:szCs w:val="20"/>
                <w:lang w:val="en-GB" w:eastAsia="en-US"/>
              </w:rPr>
              <w:t>≥</w:t>
            </w:r>
            <w:r w:rsidRPr="0079136A">
              <w:rPr>
                <w:rFonts w:eastAsia="Batang" w:cs="Times New Roman"/>
                <w:sz w:val="18"/>
                <w:szCs w:val="20"/>
                <w:lang w:val="en-GB" w:eastAsia="en-US"/>
              </w:rPr>
              <w:t>10 dB @0.001%</w:t>
            </w:r>
          </w:p>
        </w:tc>
      </w:tr>
      <w:tr w:rsidR="0079136A" w:rsidRPr="0079136A" w14:paraId="588E831F" w14:textId="77777777" w:rsidTr="007A1300">
        <w:trPr>
          <w:cantSplit/>
          <w:jc w:val="center"/>
        </w:trPr>
        <w:tc>
          <w:tcPr>
            <w:tcW w:w="5564" w:type="dxa"/>
            <w:shd w:val="clear" w:color="auto" w:fill="D9D9D9" w:themeFill="background1" w:themeFillShade="D9"/>
            <w:vAlign w:val="center"/>
          </w:tcPr>
          <w:p w14:paraId="0A9439BE"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Signal-to noise ratio uncertainty, averaged over downlink transmission Bandwidth</w:t>
            </w:r>
          </w:p>
        </w:tc>
        <w:tc>
          <w:tcPr>
            <w:tcW w:w="3863" w:type="dxa"/>
            <w:shd w:val="clear" w:color="auto" w:fill="D9D9D9" w:themeFill="background1" w:themeFillShade="D9"/>
          </w:tcPr>
          <w:p w14:paraId="7377DE0D"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±0.3 dB (includes uncertainty in precoding applied by the test system, where applicable)</w:t>
            </w:r>
          </w:p>
        </w:tc>
      </w:tr>
      <w:tr w:rsidR="0079136A" w:rsidRPr="0079136A" w14:paraId="6007355F" w14:textId="77777777" w:rsidTr="007A1300">
        <w:trPr>
          <w:cantSplit/>
          <w:jc w:val="center"/>
        </w:trPr>
        <w:tc>
          <w:tcPr>
            <w:tcW w:w="5564" w:type="dxa"/>
            <w:shd w:val="clear" w:color="auto" w:fill="D9D9D9" w:themeFill="background1" w:themeFillShade="D9"/>
            <w:vAlign w:val="center"/>
          </w:tcPr>
          <w:p w14:paraId="6E491367"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Signal-to noise ratio variation for any resource block, relative to average over downlink transmission Bandwidth</w:t>
            </w:r>
          </w:p>
        </w:tc>
        <w:tc>
          <w:tcPr>
            <w:tcW w:w="3863" w:type="dxa"/>
            <w:shd w:val="clear" w:color="auto" w:fill="D9D9D9" w:themeFill="background1" w:themeFillShade="D9"/>
          </w:tcPr>
          <w:p w14:paraId="047A39C7"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±0.5 dB</w:t>
            </w:r>
          </w:p>
        </w:tc>
      </w:tr>
      <w:tr w:rsidR="0079136A" w:rsidRPr="0079136A" w14:paraId="1689038E" w14:textId="77777777" w:rsidTr="007A1300">
        <w:trPr>
          <w:cantSplit/>
          <w:jc w:val="center"/>
        </w:trPr>
        <w:tc>
          <w:tcPr>
            <w:tcW w:w="5564" w:type="dxa"/>
            <w:shd w:val="clear" w:color="auto" w:fill="D9D9D9" w:themeFill="background1" w:themeFillShade="D9"/>
          </w:tcPr>
          <w:p w14:paraId="1B8C039D"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Fading profile power uncertainty</w:t>
            </w:r>
          </w:p>
        </w:tc>
        <w:tc>
          <w:tcPr>
            <w:tcW w:w="3863" w:type="dxa"/>
            <w:shd w:val="clear" w:color="auto" w:fill="D9D9D9" w:themeFill="background1" w:themeFillShade="D9"/>
          </w:tcPr>
          <w:p w14:paraId="65736225"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Test-specific</w:t>
            </w:r>
          </w:p>
        </w:tc>
      </w:tr>
      <w:tr w:rsidR="0079136A" w:rsidRPr="0079136A" w14:paraId="52A05390" w14:textId="77777777" w:rsidTr="007A1300">
        <w:trPr>
          <w:cantSplit/>
          <w:jc w:val="center"/>
        </w:trPr>
        <w:tc>
          <w:tcPr>
            <w:tcW w:w="5564" w:type="dxa"/>
            <w:shd w:val="clear" w:color="auto" w:fill="D9D9D9" w:themeFill="background1" w:themeFillShade="D9"/>
          </w:tcPr>
          <w:p w14:paraId="215A1775"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Fading profile delay uncertainty, relative to frame timing</w:t>
            </w:r>
          </w:p>
        </w:tc>
        <w:tc>
          <w:tcPr>
            <w:tcW w:w="3863" w:type="dxa"/>
            <w:shd w:val="clear" w:color="auto" w:fill="D9D9D9" w:themeFill="background1" w:themeFillShade="D9"/>
          </w:tcPr>
          <w:p w14:paraId="1842B82D" w14:textId="77777777" w:rsidR="0079136A" w:rsidRPr="0079136A" w:rsidRDefault="0079136A" w:rsidP="0079136A">
            <w:pPr>
              <w:keepNext/>
              <w:keepLines/>
              <w:spacing w:after="0" w:line="240" w:lineRule="auto"/>
              <w:rPr>
                <w:rFonts w:eastAsia="Batang" w:cs="Times New Roman"/>
                <w:sz w:val="18"/>
                <w:szCs w:val="20"/>
                <w:lang w:val="en-GB" w:eastAsia="en-US"/>
              </w:rPr>
            </w:pPr>
            <w:r w:rsidRPr="0079136A">
              <w:rPr>
                <w:rFonts w:eastAsia="Batang" w:cs="Times New Roman"/>
                <w:sz w:val="18"/>
                <w:szCs w:val="20"/>
                <w:lang w:val="en-GB" w:eastAsia="en-US"/>
              </w:rPr>
              <w:t>±5 ns (excludes absolute errors related to baseband timing)</w:t>
            </w:r>
          </w:p>
        </w:tc>
      </w:tr>
      <w:tr w:rsidR="0079136A" w:rsidRPr="0079136A" w14:paraId="208A4DE4" w14:textId="77777777" w:rsidTr="007A1300">
        <w:trPr>
          <w:cantSplit/>
          <w:jc w:val="center"/>
        </w:trPr>
        <w:tc>
          <w:tcPr>
            <w:tcW w:w="9427" w:type="dxa"/>
            <w:gridSpan w:val="2"/>
            <w:shd w:val="clear" w:color="auto" w:fill="D9D9D9" w:themeFill="background1" w:themeFillShade="D9"/>
          </w:tcPr>
          <w:p w14:paraId="683E1E9B" w14:textId="77777777" w:rsidR="0079136A" w:rsidRPr="0079136A" w:rsidRDefault="0079136A" w:rsidP="0079136A">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sv-SE"/>
              </w:rPr>
            </w:pPr>
            <w:r w:rsidRPr="0079136A">
              <w:rPr>
                <w:rFonts w:eastAsia="MS Mincho" w:cs="Times New Roman"/>
                <w:sz w:val="18"/>
                <w:szCs w:val="20"/>
                <w:lang w:val="en-GB" w:eastAsia="en-US"/>
              </w:rPr>
              <w:t>Note 1:</w:t>
            </w:r>
            <w:r w:rsidRPr="0079136A">
              <w:rPr>
                <w:rFonts w:eastAsia="MS Mincho" w:cs="Times New Roman"/>
                <w:sz w:val="18"/>
                <w:szCs w:val="20"/>
                <w:lang w:val="en-GB" w:eastAsia="en-US"/>
              </w:rPr>
              <w:tab/>
              <w:t xml:space="preserve">Only the overall stimulus error is considered here. </w:t>
            </w:r>
            <w:r w:rsidRPr="0079136A">
              <w:rPr>
                <w:rFonts w:eastAsia="MS Mincho" w:cs="Times New Roman"/>
                <w:sz w:val="18"/>
                <w:szCs w:val="20"/>
                <w:lang w:val="en-GB" w:eastAsia="sv-SE"/>
              </w:rPr>
              <w:t>The effect of errors in the throughput measurements due to finite test duration is not considered.</w:t>
            </w:r>
          </w:p>
          <w:p w14:paraId="322904DE" w14:textId="77777777" w:rsidR="0079136A" w:rsidRPr="0079136A" w:rsidRDefault="0079136A" w:rsidP="0079136A">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ja-JP"/>
              </w:rPr>
            </w:pPr>
            <w:r w:rsidRPr="0079136A">
              <w:rPr>
                <w:rFonts w:eastAsia="MS Mincho" w:cs="Times New Roman"/>
                <w:sz w:val="18"/>
                <w:szCs w:val="20"/>
                <w:lang w:val="en-GB" w:eastAsia="en-US"/>
              </w:rPr>
              <w:t>Note 2:</w:t>
            </w:r>
            <w:r w:rsidRPr="0079136A">
              <w:rPr>
                <w:rFonts w:eastAsia="MS Mincho" w:cs="Times New Roman"/>
                <w:sz w:val="18"/>
                <w:szCs w:val="20"/>
                <w:lang w:val="en-GB" w:eastAsia="en-US"/>
              </w:rPr>
              <w:tab/>
              <w:t>The AWGN or N</w:t>
            </w:r>
            <w:r w:rsidRPr="0079136A">
              <w:rPr>
                <w:rFonts w:eastAsia="MS Mincho" w:cs="Times New Roman"/>
                <w:sz w:val="18"/>
                <w:szCs w:val="20"/>
                <w:vertAlign w:val="subscript"/>
                <w:lang w:val="en-GB" w:eastAsia="en-US"/>
              </w:rPr>
              <w:t xml:space="preserve"> </w:t>
            </w:r>
            <w:proofErr w:type="spellStart"/>
            <w:r w:rsidRPr="0079136A">
              <w:rPr>
                <w:rFonts w:eastAsia="MS Mincho" w:cs="Times New Roman"/>
                <w:sz w:val="18"/>
                <w:szCs w:val="20"/>
                <w:vertAlign w:val="subscript"/>
                <w:lang w:val="en-GB" w:eastAsia="en-US"/>
              </w:rPr>
              <w:t>ocx</w:t>
            </w:r>
            <w:proofErr w:type="spellEnd"/>
            <w:r w:rsidRPr="0079136A">
              <w:rPr>
                <w:rFonts w:eastAsia="MS Mincho" w:cs="Times New Roman"/>
                <w:sz w:val="18"/>
                <w:szCs w:val="20"/>
                <w:lang w:val="en-GB" w:eastAsia="en-US"/>
              </w:rPr>
              <w:t xml:space="preserve"> parameters apply to all test cas</w:t>
            </w:r>
            <w:r w:rsidRPr="0079136A">
              <w:rPr>
                <w:rFonts w:eastAsia="MS Mincho" w:cs="Times New Roman"/>
                <w:sz w:val="18"/>
                <w:szCs w:val="20"/>
                <w:lang w:val="en-GB" w:eastAsia="sv-SE"/>
              </w:rPr>
              <w:t xml:space="preserve">es except </w:t>
            </w:r>
            <w:r w:rsidRPr="0079136A">
              <w:rPr>
                <w:rFonts w:eastAsia="MS Mincho" w:cs="v4.2.0"/>
                <w:sz w:val="18"/>
                <w:szCs w:val="20"/>
                <w:lang w:val="en-GB" w:eastAsia="ja-JP"/>
              </w:rPr>
              <w:t>8.7.1 and 8.7.2</w:t>
            </w:r>
            <w:r w:rsidRPr="0079136A">
              <w:rPr>
                <w:rFonts w:eastAsia="MS Mincho" w:cs="Times New Roman"/>
                <w:sz w:val="18"/>
                <w:szCs w:val="20"/>
                <w:lang w:val="en-GB" w:eastAsia="sv-SE"/>
              </w:rPr>
              <w:t>. The fading parameters apply to test cases using fading</w:t>
            </w:r>
          </w:p>
          <w:p w14:paraId="6AAC79FC" w14:textId="77777777" w:rsidR="0079136A" w:rsidRPr="0079136A" w:rsidRDefault="0079136A" w:rsidP="0079136A">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en-US"/>
              </w:rPr>
            </w:pPr>
            <w:r w:rsidRPr="0079136A">
              <w:rPr>
                <w:rFonts w:eastAsia="MS Mincho" w:cs="Times New Roman"/>
                <w:sz w:val="18"/>
                <w:szCs w:val="20"/>
                <w:lang w:val="en-GB" w:eastAsia="ja-JP"/>
              </w:rPr>
              <w:t>Note 3:</w:t>
            </w:r>
            <w:r w:rsidRPr="0079136A">
              <w:rPr>
                <w:rFonts w:eastAsia="MS Mincho" w:cs="Times New Roman"/>
                <w:sz w:val="18"/>
                <w:szCs w:val="20"/>
                <w:lang w:val="en-GB" w:eastAsia="ja-JP"/>
              </w:rPr>
              <w:tab/>
              <w:t>In CA, DC and LAA test cases using multiple component carriers (CCs), the uncertainties and related constraints apply for each CC.</w:t>
            </w:r>
          </w:p>
          <w:p w14:paraId="5FCB97C5" w14:textId="2F35872F" w:rsidR="0079136A" w:rsidRPr="0079136A" w:rsidRDefault="0079136A" w:rsidP="0079136A">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en-US"/>
              </w:rPr>
            </w:pPr>
            <w:r w:rsidRPr="0079136A">
              <w:rPr>
                <w:rFonts w:eastAsia="MS Mincho" w:cs="Times New Roman"/>
                <w:sz w:val="18"/>
                <w:szCs w:val="20"/>
                <w:lang w:val="en-GB" w:eastAsia="en-US"/>
              </w:rPr>
              <w:t>Note 4:</w:t>
            </w:r>
            <w:r w:rsidRPr="0079136A">
              <w:rPr>
                <w:rFonts w:eastAsia="MS Mincho" w:cs="Times New Roman"/>
                <w:sz w:val="18"/>
                <w:szCs w:val="20"/>
                <w:lang w:val="en-GB" w:eastAsia="en-US"/>
              </w:rPr>
              <w:tab/>
              <w:t>Applies for test cases which specify Noc, a single value that remains constant with time.</w:t>
            </w:r>
          </w:p>
        </w:tc>
      </w:tr>
    </w:tbl>
    <w:p w14:paraId="1A05E551" w14:textId="77777777" w:rsidR="0079136A" w:rsidRPr="0079136A" w:rsidRDefault="0079136A" w:rsidP="0079136A">
      <w:pPr>
        <w:rPr>
          <w:i/>
          <w:iCs/>
          <w:sz w:val="18"/>
          <w:szCs w:val="18"/>
          <w:lang w:val="en-GB" w:eastAsia="de-DE"/>
        </w:rPr>
      </w:pPr>
    </w:p>
    <w:p w14:paraId="4D70501A" w14:textId="62232AD4" w:rsidR="0079136A" w:rsidRPr="007A1300" w:rsidRDefault="0063042E" w:rsidP="0079136A">
      <w:pPr>
        <w:rPr>
          <w:iCs/>
          <w:szCs w:val="18"/>
          <w:lang w:eastAsia="de-DE"/>
        </w:rPr>
      </w:pPr>
      <w:r w:rsidRPr="007A1300">
        <w:rPr>
          <w:iCs/>
          <w:szCs w:val="18"/>
          <w:lang w:eastAsia="de-DE"/>
        </w:rPr>
        <w:t>Similar for CSI reporting TCs the In addition, the following Test System uncertainties and related constraints apply:</w:t>
      </w:r>
    </w:p>
    <w:p w14:paraId="1646D510" w14:textId="5B5D19F0" w:rsidR="00177009" w:rsidRDefault="00177009" w:rsidP="00177009">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Excerpt from Table F.1.5-1 of TS 36.521-1 (</w:t>
      </w:r>
      <w:r w:rsidRPr="00177009">
        <w:t>Maximum Test System Uncertainty for Channel State Information reporting</w:t>
      </w:r>
      <w:r>
        <w:t>)</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3"/>
        <w:gridCol w:w="3863"/>
      </w:tblGrid>
      <w:tr w:rsidR="0063042E" w:rsidRPr="0063042E" w14:paraId="6E62E5C6" w14:textId="77777777" w:rsidTr="00177009">
        <w:trPr>
          <w:cantSplit/>
          <w:jc w:val="center"/>
        </w:trPr>
        <w:tc>
          <w:tcPr>
            <w:tcW w:w="5563" w:type="dxa"/>
            <w:shd w:val="clear" w:color="auto" w:fill="D9D9D9" w:themeFill="background1" w:themeFillShade="D9"/>
          </w:tcPr>
          <w:p w14:paraId="613A608C"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AWGN Bandwidth</w:t>
            </w:r>
          </w:p>
        </w:tc>
        <w:tc>
          <w:tcPr>
            <w:tcW w:w="3863" w:type="dxa"/>
            <w:shd w:val="clear" w:color="auto" w:fill="D9D9D9" w:themeFill="background1" w:themeFillShade="D9"/>
          </w:tcPr>
          <w:p w14:paraId="1796D1EC"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sz w:val="18"/>
                <w:szCs w:val="18"/>
                <w:lang w:val="en-GB"/>
              </w:rPr>
              <w:t xml:space="preserve">≥ </w:t>
            </w:r>
            <w:r w:rsidRPr="0063042E">
              <w:rPr>
                <w:rFonts w:eastAsia="Osaka" w:cs="Times New Roman"/>
                <w:sz w:val="18"/>
                <w:szCs w:val="18"/>
                <w:lang w:val="en-GB"/>
              </w:rPr>
              <w:t>1.08MHz, 2.7MHz, 4.5MHz, 9MHz, 13.5MHz, 18MHz;</w:t>
            </w:r>
          </w:p>
          <w:p w14:paraId="10001644"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N</w:t>
            </w:r>
            <w:r w:rsidRPr="0063042E">
              <w:rPr>
                <w:rFonts w:eastAsia="Osaka" w:cs="Times New Roman"/>
                <w:sz w:val="18"/>
                <w:szCs w:val="18"/>
                <w:vertAlign w:val="subscript"/>
                <w:lang w:val="en-GB"/>
              </w:rPr>
              <w:t>RB</w:t>
            </w:r>
            <w:r w:rsidRPr="0063042E">
              <w:rPr>
                <w:rFonts w:eastAsia="Osaka" w:cs="Times New Roman"/>
                <w:sz w:val="18"/>
                <w:szCs w:val="18"/>
                <w:lang w:val="en-GB"/>
              </w:rPr>
              <w:t xml:space="preserve"> x 180kHz according to </w:t>
            </w:r>
            <w:proofErr w:type="spellStart"/>
            <w:r w:rsidRPr="0063042E">
              <w:rPr>
                <w:rFonts w:eastAsia="Osaka" w:cs="Times New Roman"/>
                <w:sz w:val="18"/>
                <w:szCs w:val="18"/>
                <w:lang w:val="en-GB"/>
              </w:rPr>
              <w:t>BW</w:t>
            </w:r>
            <w:r w:rsidRPr="0063042E">
              <w:rPr>
                <w:rFonts w:eastAsia="Osaka" w:cs="Times New Roman"/>
                <w:sz w:val="18"/>
                <w:szCs w:val="18"/>
                <w:vertAlign w:val="subscript"/>
                <w:lang w:val="en-GB"/>
              </w:rPr>
              <w:t>Config</w:t>
            </w:r>
            <w:proofErr w:type="spellEnd"/>
          </w:p>
        </w:tc>
      </w:tr>
      <w:tr w:rsidR="0063042E" w:rsidRPr="0063042E" w14:paraId="710E5FF8" w14:textId="77777777" w:rsidTr="00177009">
        <w:trPr>
          <w:cantSplit/>
          <w:jc w:val="center"/>
        </w:trPr>
        <w:tc>
          <w:tcPr>
            <w:tcW w:w="5563" w:type="dxa"/>
            <w:shd w:val="clear" w:color="auto" w:fill="D9D9D9" w:themeFill="background1" w:themeFillShade="D9"/>
          </w:tcPr>
          <w:p w14:paraId="6315CA2C"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 xml:space="preserve">AWGN absolute power uncertainty, averaged over </w:t>
            </w:r>
            <w:proofErr w:type="spellStart"/>
            <w:r w:rsidRPr="0063042E">
              <w:rPr>
                <w:rFonts w:eastAsia="Osaka" w:cs="Times New Roman"/>
                <w:sz w:val="18"/>
                <w:szCs w:val="18"/>
                <w:lang w:val="en-GB"/>
              </w:rPr>
              <w:t>BW</w:t>
            </w:r>
            <w:r w:rsidRPr="0063042E">
              <w:rPr>
                <w:rFonts w:eastAsia="Osaka" w:cs="Times New Roman"/>
                <w:sz w:val="18"/>
                <w:szCs w:val="18"/>
                <w:vertAlign w:val="subscript"/>
                <w:lang w:val="en-GB"/>
              </w:rPr>
              <w:t>Config</w:t>
            </w:r>
            <w:proofErr w:type="spellEnd"/>
            <w:r w:rsidRPr="0063042E">
              <w:rPr>
                <w:rFonts w:eastAsia="Osaka" w:cs="Times New Roman"/>
                <w:sz w:val="18"/>
                <w:szCs w:val="18"/>
                <w:vertAlign w:val="subscript"/>
                <w:lang w:val="en-GB"/>
              </w:rPr>
              <w:t xml:space="preserve"> </w:t>
            </w:r>
            <w:r w:rsidRPr="0063042E">
              <w:rPr>
                <w:rFonts w:eastAsia="Osaka" w:cs="Times New Roman"/>
                <w:sz w:val="18"/>
                <w:szCs w:val="18"/>
                <w:vertAlign w:val="superscript"/>
                <w:lang w:val="en-GB"/>
              </w:rPr>
              <w:t>Note 4</w:t>
            </w:r>
          </w:p>
        </w:tc>
        <w:tc>
          <w:tcPr>
            <w:tcW w:w="3863" w:type="dxa"/>
            <w:shd w:val="clear" w:color="auto" w:fill="D9D9D9" w:themeFill="background1" w:themeFillShade="D9"/>
          </w:tcPr>
          <w:p w14:paraId="55F9F3E4" w14:textId="77777777" w:rsidR="0063042E" w:rsidRPr="0063042E" w:rsidRDefault="0063042E" w:rsidP="0063042E">
            <w:pPr>
              <w:keepNext/>
              <w:keepLines/>
              <w:spacing w:after="0" w:line="240" w:lineRule="auto"/>
              <w:rPr>
                <w:rFonts w:eastAsia="Batang" w:cs="Times New Roman"/>
                <w:sz w:val="18"/>
                <w:szCs w:val="20"/>
                <w:lang w:val="en-GB" w:eastAsia="en-US"/>
              </w:rPr>
            </w:pPr>
            <w:r w:rsidRPr="0063042E">
              <w:rPr>
                <w:rFonts w:eastAsia="Batang" w:cs="Times New Roman"/>
                <w:sz w:val="18"/>
                <w:szCs w:val="20"/>
                <w:lang w:val="en-GB" w:eastAsia="en-US"/>
              </w:rPr>
              <w:t>±3 dB</w:t>
            </w:r>
          </w:p>
        </w:tc>
      </w:tr>
      <w:tr w:rsidR="0063042E" w:rsidRPr="0063042E" w14:paraId="164F14C3" w14:textId="77777777" w:rsidTr="00177009">
        <w:trPr>
          <w:cantSplit/>
          <w:jc w:val="center"/>
        </w:trPr>
        <w:tc>
          <w:tcPr>
            <w:tcW w:w="5563" w:type="dxa"/>
            <w:shd w:val="clear" w:color="auto" w:fill="D9D9D9" w:themeFill="background1" w:themeFillShade="D9"/>
            <w:vAlign w:val="center"/>
          </w:tcPr>
          <w:p w14:paraId="4F84ADBF"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 xml:space="preserve">AWGN flatness and signal flatness, max deviation for any Resource Block, relative to average over </w:t>
            </w:r>
            <w:proofErr w:type="spellStart"/>
            <w:r w:rsidRPr="0063042E">
              <w:rPr>
                <w:rFonts w:eastAsia="Osaka" w:cs="Times New Roman"/>
                <w:sz w:val="18"/>
                <w:szCs w:val="18"/>
                <w:lang w:val="en-GB"/>
              </w:rPr>
              <w:t>BW</w:t>
            </w:r>
            <w:r w:rsidRPr="0063042E">
              <w:rPr>
                <w:rFonts w:eastAsia="Osaka" w:cs="Times New Roman"/>
                <w:sz w:val="18"/>
                <w:szCs w:val="18"/>
                <w:vertAlign w:val="subscript"/>
                <w:lang w:val="en-GB"/>
              </w:rPr>
              <w:t>Config</w:t>
            </w:r>
            <w:proofErr w:type="spellEnd"/>
          </w:p>
        </w:tc>
        <w:tc>
          <w:tcPr>
            <w:tcW w:w="3863" w:type="dxa"/>
            <w:shd w:val="clear" w:color="auto" w:fill="D9D9D9" w:themeFill="background1" w:themeFillShade="D9"/>
          </w:tcPr>
          <w:p w14:paraId="300A4D95"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±2 dB</w:t>
            </w:r>
          </w:p>
        </w:tc>
      </w:tr>
      <w:tr w:rsidR="0063042E" w:rsidRPr="0063042E" w14:paraId="39229D52" w14:textId="77777777" w:rsidTr="00177009">
        <w:trPr>
          <w:cantSplit/>
          <w:jc w:val="center"/>
        </w:trPr>
        <w:tc>
          <w:tcPr>
            <w:tcW w:w="5563" w:type="dxa"/>
            <w:shd w:val="clear" w:color="auto" w:fill="D9D9D9" w:themeFill="background1" w:themeFillShade="D9"/>
            <w:vAlign w:val="center"/>
          </w:tcPr>
          <w:p w14:paraId="72DC4930"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 xml:space="preserve">AWGN peak to average ratio </w:t>
            </w:r>
          </w:p>
        </w:tc>
        <w:tc>
          <w:tcPr>
            <w:tcW w:w="3863" w:type="dxa"/>
            <w:shd w:val="clear" w:color="auto" w:fill="D9D9D9" w:themeFill="background1" w:themeFillShade="D9"/>
          </w:tcPr>
          <w:p w14:paraId="07F0BA2A"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sz w:val="18"/>
                <w:szCs w:val="18"/>
                <w:lang w:val="en-GB"/>
              </w:rPr>
              <w:t>≥</w:t>
            </w:r>
            <w:r w:rsidRPr="0063042E">
              <w:rPr>
                <w:rFonts w:eastAsia="Osaka" w:cs="Times New Roman"/>
                <w:sz w:val="18"/>
                <w:szCs w:val="18"/>
                <w:lang w:val="en-GB"/>
              </w:rPr>
              <w:t>10 dB @0.001%</w:t>
            </w:r>
          </w:p>
        </w:tc>
      </w:tr>
      <w:tr w:rsidR="0063042E" w:rsidRPr="0063042E" w14:paraId="39F5916A" w14:textId="77777777" w:rsidTr="00177009">
        <w:trPr>
          <w:cantSplit/>
          <w:jc w:val="center"/>
        </w:trPr>
        <w:tc>
          <w:tcPr>
            <w:tcW w:w="5563" w:type="dxa"/>
            <w:shd w:val="clear" w:color="auto" w:fill="D9D9D9" w:themeFill="background1" w:themeFillShade="D9"/>
            <w:vAlign w:val="center"/>
          </w:tcPr>
          <w:p w14:paraId="7FFA383D"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Signal-to noise ratio uncertainty, averaged over downlink transmission Bandwidth</w:t>
            </w:r>
          </w:p>
        </w:tc>
        <w:tc>
          <w:tcPr>
            <w:tcW w:w="3863" w:type="dxa"/>
            <w:shd w:val="clear" w:color="auto" w:fill="D9D9D9" w:themeFill="background1" w:themeFillShade="D9"/>
          </w:tcPr>
          <w:p w14:paraId="3D4C7A1D"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±0.3 dB (includes uncertainty in precoding applied by the test system, where applicable)</w:t>
            </w:r>
          </w:p>
        </w:tc>
      </w:tr>
      <w:tr w:rsidR="0063042E" w:rsidRPr="0063042E" w14:paraId="206254C2" w14:textId="77777777" w:rsidTr="00177009">
        <w:trPr>
          <w:cantSplit/>
          <w:jc w:val="center"/>
        </w:trPr>
        <w:tc>
          <w:tcPr>
            <w:tcW w:w="5563" w:type="dxa"/>
            <w:shd w:val="clear" w:color="auto" w:fill="D9D9D9" w:themeFill="background1" w:themeFillShade="D9"/>
            <w:vAlign w:val="center"/>
          </w:tcPr>
          <w:p w14:paraId="1CD8520C"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Signal-to noise ratio variation for any resource block, relative to average over downlink transmission Bandwidth</w:t>
            </w:r>
          </w:p>
        </w:tc>
        <w:tc>
          <w:tcPr>
            <w:tcW w:w="3863" w:type="dxa"/>
            <w:shd w:val="clear" w:color="auto" w:fill="D9D9D9" w:themeFill="background1" w:themeFillShade="D9"/>
          </w:tcPr>
          <w:p w14:paraId="31D0553A"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±0.5 dB</w:t>
            </w:r>
          </w:p>
        </w:tc>
      </w:tr>
      <w:tr w:rsidR="0063042E" w:rsidRPr="0063042E" w14:paraId="167335A5" w14:textId="77777777" w:rsidTr="00177009">
        <w:trPr>
          <w:cantSplit/>
          <w:jc w:val="center"/>
        </w:trPr>
        <w:tc>
          <w:tcPr>
            <w:tcW w:w="5563" w:type="dxa"/>
            <w:shd w:val="clear" w:color="auto" w:fill="D9D9D9" w:themeFill="background1" w:themeFillShade="D9"/>
          </w:tcPr>
          <w:p w14:paraId="26160C32"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Fading profile power uncertainty</w:t>
            </w:r>
          </w:p>
        </w:tc>
        <w:tc>
          <w:tcPr>
            <w:tcW w:w="3863" w:type="dxa"/>
            <w:shd w:val="clear" w:color="auto" w:fill="D9D9D9" w:themeFill="background1" w:themeFillShade="D9"/>
          </w:tcPr>
          <w:p w14:paraId="36DEA52B"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eastAsia="ja-JP"/>
              </w:rPr>
              <w:t>Test-specific</w:t>
            </w:r>
          </w:p>
        </w:tc>
      </w:tr>
      <w:tr w:rsidR="0063042E" w:rsidRPr="0063042E" w14:paraId="7ECB1773" w14:textId="77777777" w:rsidTr="00177009">
        <w:trPr>
          <w:cantSplit/>
          <w:jc w:val="center"/>
        </w:trPr>
        <w:tc>
          <w:tcPr>
            <w:tcW w:w="5563" w:type="dxa"/>
            <w:shd w:val="clear" w:color="auto" w:fill="D9D9D9" w:themeFill="background1" w:themeFillShade="D9"/>
          </w:tcPr>
          <w:p w14:paraId="5CDDB84E"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rPr>
              <w:t>Fading profile delay uncertainty, relative to frame timing</w:t>
            </w:r>
          </w:p>
        </w:tc>
        <w:tc>
          <w:tcPr>
            <w:tcW w:w="3863" w:type="dxa"/>
            <w:shd w:val="clear" w:color="auto" w:fill="D9D9D9" w:themeFill="background1" w:themeFillShade="D9"/>
          </w:tcPr>
          <w:p w14:paraId="40F47F79" w14:textId="77777777" w:rsidR="0063042E" w:rsidRPr="0063042E" w:rsidRDefault="0063042E" w:rsidP="0063042E">
            <w:pPr>
              <w:keepNext/>
              <w:keepLines/>
              <w:overflowPunct w:val="0"/>
              <w:autoSpaceDE w:val="0"/>
              <w:autoSpaceDN w:val="0"/>
              <w:adjustRightInd w:val="0"/>
              <w:spacing w:after="0" w:line="240" w:lineRule="auto"/>
              <w:textAlignment w:val="baseline"/>
              <w:rPr>
                <w:rFonts w:eastAsia="Osaka" w:cs="Times New Roman"/>
                <w:sz w:val="18"/>
                <w:szCs w:val="18"/>
                <w:lang w:val="en-GB"/>
              </w:rPr>
            </w:pPr>
            <w:r w:rsidRPr="0063042E">
              <w:rPr>
                <w:rFonts w:eastAsia="Osaka" w:cs="Times New Roman"/>
                <w:sz w:val="18"/>
                <w:szCs w:val="18"/>
                <w:lang w:val="en-GB" w:eastAsia="ja-JP"/>
              </w:rPr>
              <w:t>±5 ns (excludes absolute errors related to baseband timing)</w:t>
            </w:r>
          </w:p>
        </w:tc>
      </w:tr>
      <w:tr w:rsidR="0063042E" w:rsidRPr="0063042E" w14:paraId="7EEC8ADC" w14:textId="77777777" w:rsidTr="00177009">
        <w:trPr>
          <w:cantSplit/>
          <w:jc w:val="center"/>
        </w:trPr>
        <w:tc>
          <w:tcPr>
            <w:tcW w:w="9426" w:type="dxa"/>
            <w:gridSpan w:val="2"/>
            <w:shd w:val="clear" w:color="auto" w:fill="D9D9D9" w:themeFill="background1" w:themeFillShade="D9"/>
          </w:tcPr>
          <w:p w14:paraId="184B42E8" w14:textId="77777777" w:rsidR="0063042E" w:rsidRPr="0063042E" w:rsidRDefault="0063042E" w:rsidP="0063042E">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sv-SE"/>
              </w:rPr>
            </w:pPr>
            <w:r w:rsidRPr="0063042E">
              <w:rPr>
                <w:rFonts w:eastAsia="MS Mincho" w:cs="Times New Roman"/>
                <w:sz w:val="18"/>
                <w:szCs w:val="20"/>
                <w:lang w:val="en-GB" w:eastAsia="en-US"/>
              </w:rPr>
              <w:t>Note 1:</w:t>
            </w:r>
            <w:r w:rsidRPr="0063042E">
              <w:rPr>
                <w:rFonts w:eastAsia="MS Mincho" w:cs="Times New Roman"/>
                <w:sz w:val="18"/>
                <w:szCs w:val="20"/>
                <w:lang w:val="en-GB" w:eastAsia="en-US"/>
              </w:rPr>
              <w:tab/>
              <w:t xml:space="preserve">Only the overall stimulus error is considered. </w:t>
            </w:r>
            <w:r w:rsidRPr="0063042E">
              <w:rPr>
                <w:rFonts w:eastAsia="MS Mincho" w:cs="Times New Roman"/>
                <w:sz w:val="18"/>
                <w:szCs w:val="20"/>
                <w:lang w:val="en-GB" w:eastAsia="sv-SE"/>
              </w:rPr>
              <w:t>The effect of errors in the throughput measurements due to finite test duration is not considered.</w:t>
            </w:r>
          </w:p>
          <w:p w14:paraId="1A5288B0" w14:textId="77777777" w:rsidR="0063042E" w:rsidRPr="0063042E" w:rsidRDefault="0063042E" w:rsidP="0063042E">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sv-SE"/>
              </w:rPr>
            </w:pPr>
            <w:r w:rsidRPr="0063042E">
              <w:rPr>
                <w:rFonts w:eastAsia="MS Mincho" w:cs="Times New Roman"/>
                <w:sz w:val="18"/>
                <w:szCs w:val="20"/>
                <w:lang w:val="en-GB" w:eastAsia="en-US"/>
              </w:rPr>
              <w:t>Note 2:</w:t>
            </w:r>
            <w:r w:rsidRPr="0063042E">
              <w:rPr>
                <w:rFonts w:eastAsia="MS Mincho" w:cs="Times New Roman"/>
                <w:sz w:val="18"/>
                <w:szCs w:val="20"/>
                <w:lang w:val="en-GB" w:eastAsia="en-US"/>
              </w:rPr>
              <w:tab/>
              <w:t>The AWGN parameters apply to all test cas</w:t>
            </w:r>
            <w:r w:rsidRPr="0063042E">
              <w:rPr>
                <w:rFonts w:eastAsia="MS Mincho" w:cs="Times New Roman"/>
                <w:sz w:val="18"/>
                <w:szCs w:val="20"/>
                <w:lang w:val="en-GB" w:eastAsia="sv-SE"/>
              </w:rPr>
              <w:t xml:space="preserve">es except </w:t>
            </w:r>
            <w:r w:rsidRPr="0063042E">
              <w:rPr>
                <w:rFonts w:eastAsia="MS Mincho" w:cs="v4.2.0"/>
                <w:sz w:val="18"/>
                <w:szCs w:val="20"/>
                <w:lang w:val="en-GB" w:eastAsia="ja-JP"/>
              </w:rPr>
              <w:t>9.3.3.1.1 and 9.3.3.1.2</w:t>
            </w:r>
            <w:r w:rsidRPr="0063042E">
              <w:rPr>
                <w:rFonts w:eastAsia="MS Mincho" w:cs="Times New Roman"/>
                <w:sz w:val="18"/>
                <w:szCs w:val="20"/>
                <w:lang w:val="en-GB" w:eastAsia="sv-SE"/>
              </w:rPr>
              <w:t>. The fading parameters apply to test cases using fading</w:t>
            </w:r>
          </w:p>
          <w:p w14:paraId="6B528993" w14:textId="77777777" w:rsidR="0063042E" w:rsidRPr="0063042E" w:rsidRDefault="0063042E" w:rsidP="0063042E">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sv-SE"/>
              </w:rPr>
            </w:pPr>
            <w:r w:rsidRPr="0063042E">
              <w:rPr>
                <w:rFonts w:eastAsia="MS Mincho" w:cs="Times New Roman"/>
                <w:sz w:val="18"/>
                <w:szCs w:val="20"/>
                <w:lang w:val="en-GB" w:eastAsia="en-US"/>
              </w:rPr>
              <w:t>Note 3:</w:t>
            </w:r>
            <w:r w:rsidRPr="0063042E">
              <w:rPr>
                <w:rFonts w:eastAsia="MS Mincho" w:cs="Times New Roman"/>
                <w:sz w:val="18"/>
                <w:szCs w:val="20"/>
                <w:lang w:val="en-GB" w:eastAsia="en-US"/>
              </w:rPr>
              <w:tab/>
              <w:t>Downlink channel matrix uncertainties apply to eDL-MIMO CSI test cas</w:t>
            </w:r>
            <w:r w:rsidRPr="0063042E">
              <w:rPr>
                <w:rFonts w:eastAsia="MS Mincho" w:cs="Times New Roman"/>
                <w:sz w:val="18"/>
                <w:szCs w:val="20"/>
                <w:lang w:val="en-GB" w:eastAsia="sv-SE"/>
              </w:rPr>
              <w:t>es</w:t>
            </w:r>
          </w:p>
          <w:p w14:paraId="0EC6E284" w14:textId="4D687559" w:rsidR="0063042E" w:rsidRPr="0063042E" w:rsidRDefault="0063042E" w:rsidP="0063042E">
            <w:pPr>
              <w:keepNext/>
              <w:keepLines/>
              <w:overflowPunct w:val="0"/>
              <w:autoSpaceDE w:val="0"/>
              <w:autoSpaceDN w:val="0"/>
              <w:adjustRightInd w:val="0"/>
              <w:spacing w:after="0" w:line="240" w:lineRule="auto"/>
              <w:ind w:left="851" w:hanging="851"/>
              <w:textAlignment w:val="baseline"/>
              <w:rPr>
                <w:rFonts w:eastAsia="MS Mincho" w:cs="Times New Roman"/>
                <w:sz w:val="18"/>
                <w:szCs w:val="20"/>
                <w:lang w:val="en-GB" w:eastAsia="sv-SE"/>
              </w:rPr>
            </w:pPr>
            <w:r w:rsidRPr="0063042E">
              <w:rPr>
                <w:rFonts w:eastAsia="MS Mincho" w:cs="Times New Roman"/>
                <w:sz w:val="18"/>
                <w:szCs w:val="20"/>
                <w:lang w:val="en-GB" w:eastAsia="sv-SE"/>
              </w:rPr>
              <w:t>Note 4:</w:t>
            </w:r>
            <w:r w:rsidRPr="0063042E">
              <w:rPr>
                <w:rFonts w:eastAsia="MS Mincho" w:cs="Times New Roman"/>
                <w:sz w:val="18"/>
                <w:szCs w:val="20"/>
                <w:lang w:val="en-GB" w:eastAsia="sv-SE"/>
              </w:rPr>
              <w:tab/>
              <w:t>Applies for test cases which specify Noc, a single value that remains constant with time.</w:t>
            </w:r>
          </w:p>
        </w:tc>
      </w:tr>
    </w:tbl>
    <w:p w14:paraId="7A2EE44C" w14:textId="77777777" w:rsidR="0063042E" w:rsidRPr="0063042E" w:rsidRDefault="0063042E" w:rsidP="0079136A">
      <w:pPr>
        <w:rPr>
          <w:iCs/>
          <w:sz w:val="18"/>
          <w:szCs w:val="18"/>
          <w:lang w:val="en-GB" w:eastAsia="de-DE"/>
        </w:rPr>
      </w:pPr>
    </w:p>
    <w:p w14:paraId="2776189F" w14:textId="7E728E9C" w:rsidR="0079136A" w:rsidRDefault="00A561C1" w:rsidP="0079136A">
      <w:pPr>
        <w:rPr>
          <w:b/>
          <w:iCs/>
          <w:szCs w:val="18"/>
          <w:lang w:eastAsia="de-DE"/>
        </w:rPr>
      </w:pPr>
      <w:r w:rsidRPr="004110D3">
        <w:rPr>
          <w:b/>
          <w:iCs/>
          <w:szCs w:val="18"/>
          <w:lang w:eastAsia="de-DE"/>
        </w:rPr>
        <w:t>Observation</w:t>
      </w:r>
      <w:r w:rsidR="004110D3" w:rsidRPr="004110D3">
        <w:rPr>
          <w:b/>
          <w:iCs/>
          <w:szCs w:val="18"/>
          <w:lang w:eastAsia="de-DE"/>
        </w:rPr>
        <w:t xml:space="preserve"> 1</w:t>
      </w:r>
      <w:r w:rsidRPr="004110D3">
        <w:rPr>
          <w:b/>
          <w:iCs/>
          <w:szCs w:val="18"/>
          <w:lang w:eastAsia="de-DE"/>
        </w:rPr>
        <w:t xml:space="preserve">: </w:t>
      </w:r>
      <w:r w:rsidR="007A1300" w:rsidRPr="004110D3">
        <w:rPr>
          <w:b/>
          <w:iCs/>
          <w:szCs w:val="18"/>
          <w:lang w:eastAsia="de-DE"/>
        </w:rPr>
        <w:t xml:space="preserve">The uncertainties </w:t>
      </w:r>
      <w:r w:rsidR="004110D3">
        <w:rPr>
          <w:b/>
          <w:iCs/>
          <w:szCs w:val="18"/>
          <w:lang w:eastAsia="de-DE"/>
        </w:rPr>
        <w:t xml:space="preserve">listed in Table 1 and 2 </w:t>
      </w:r>
      <w:r w:rsidR="007A1300" w:rsidRPr="004110D3">
        <w:rPr>
          <w:b/>
          <w:iCs/>
          <w:szCs w:val="18"/>
          <w:lang w:eastAsia="de-DE"/>
        </w:rPr>
        <w:t xml:space="preserve">have to be considered for FR2 in a similar way </w:t>
      </w:r>
      <w:r w:rsidR="004110D3" w:rsidRPr="004110D3">
        <w:rPr>
          <w:b/>
          <w:iCs/>
          <w:szCs w:val="18"/>
          <w:lang w:eastAsia="de-DE"/>
        </w:rPr>
        <w:t>as</w:t>
      </w:r>
      <w:r w:rsidR="007A1300" w:rsidRPr="004110D3">
        <w:rPr>
          <w:b/>
          <w:iCs/>
          <w:szCs w:val="18"/>
          <w:lang w:eastAsia="de-DE"/>
        </w:rPr>
        <w:t xml:space="preserve"> for </w:t>
      </w:r>
      <w:r w:rsidR="004110D3">
        <w:rPr>
          <w:b/>
          <w:iCs/>
          <w:szCs w:val="18"/>
          <w:lang w:eastAsia="de-DE"/>
        </w:rPr>
        <w:t>LTE</w:t>
      </w:r>
      <w:r w:rsidR="007A1300" w:rsidRPr="004110D3">
        <w:rPr>
          <w:b/>
          <w:iCs/>
          <w:szCs w:val="18"/>
          <w:lang w:eastAsia="de-DE"/>
        </w:rPr>
        <w:t>. In addition uncertainties related to the radiated testing have to be considered.</w:t>
      </w:r>
    </w:p>
    <w:p w14:paraId="0BD5FCA6" w14:textId="32B41AD5" w:rsidR="004110D3" w:rsidRPr="004110D3" w:rsidRDefault="004110D3" w:rsidP="0079136A">
      <w:pPr>
        <w:rPr>
          <w:b/>
          <w:iCs/>
          <w:szCs w:val="18"/>
          <w:lang w:eastAsia="de-DE"/>
        </w:rPr>
      </w:pPr>
      <w:r>
        <w:rPr>
          <w:b/>
          <w:iCs/>
          <w:szCs w:val="18"/>
          <w:lang w:eastAsia="de-DE"/>
        </w:rPr>
        <w:t>Proposal 1: Separate the MU tables for FR2 demod into test case specific tables and general tables applicable to a set of test cases, e.g., one for AWGN absolute power.</w:t>
      </w:r>
    </w:p>
    <w:p w14:paraId="613925CB" w14:textId="4F0AC1A5" w:rsidR="006E03D4" w:rsidRDefault="004110D3" w:rsidP="0079136A">
      <w:pPr>
        <w:rPr>
          <w:iCs/>
          <w:szCs w:val="18"/>
          <w:lang w:eastAsia="de-DE"/>
        </w:rPr>
      </w:pPr>
      <w:r>
        <w:rPr>
          <w:iCs/>
          <w:szCs w:val="18"/>
          <w:lang w:eastAsia="de-DE"/>
        </w:rPr>
        <w:lastRenderedPageBreak/>
        <w:t xml:space="preserve">RAN4 provided an initial assessment of the FR2 demod MU in </w:t>
      </w:r>
      <w:r w:rsidR="006E03D4">
        <w:rPr>
          <w:iCs/>
          <w:szCs w:val="18"/>
          <w:lang w:eastAsia="de-DE"/>
        </w:rPr>
        <w:t>TR 38.</w:t>
      </w:r>
      <w:r>
        <w:rPr>
          <w:iCs/>
          <w:szCs w:val="18"/>
          <w:lang w:eastAsia="de-DE"/>
        </w:rPr>
        <w:t>810:</w:t>
      </w:r>
    </w:p>
    <w:p w14:paraId="64DA331F" w14:textId="2C8D6652" w:rsidR="002C64D8" w:rsidRDefault="002C64D8" w:rsidP="002C64D8">
      <w:pPr>
        <w:pStyle w:val="Beschriftung"/>
        <w:keepNext/>
      </w:pPr>
      <w:r>
        <w:t xml:space="preserve">Figure </w:t>
      </w:r>
      <w:r>
        <w:fldChar w:fldCharType="begin"/>
      </w:r>
      <w:r>
        <w:instrText xml:space="preserve"> SEQ Figure \* ARABIC </w:instrText>
      </w:r>
      <w:r>
        <w:fldChar w:fldCharType="separate"/>
      </w:r>
      <w:r>
        <w:rPr>
          <w:noProof/>
        </w:rPr>
        <w:t>1</w:t>
      </w:r>
      <w:r>
        <w:fldChar w:fldCharType="end"/>
      </w:r>
      <w:r>
        <w:t>: Excerpt from TR 38.810</w:t>
      </w:r>
    </w:p>
    <w:p w14:paraId="14290EF1" w14:textId="67192F09" w:rsidR="006E03D4" w:rsidRPr="006E03D4" w:rsidRDefault="006E03D4" w:rsidP="006E03D4">
      <w:pPr>
        <w:keepNext/>
        <w:keepLines/>
        <w:shd w:val="clear" w:color="auto" w:fill="D9D9D9" w:themeFill="background1" w:themeFillShade="D9"/>
        <w:spacing w:before="60" w:after="180" w:line="240" w:lineRule="auto"/>
        <w:jc w:val="center"/>
        <w:rPr>
          <w:rFonts w:eastAsia="Malgun Gothic" w:cs="Times New Roman"/>
          <w:b/>
          <w:sz w:val="20"/>
          <w:szCs w:val="20"/>
          <w:lang w:val="en-GB" w:eastAsia="x-none"/>
        </w:rPr>
      </w:pPr>
      <w:r w:rsidRPr="006E03D4">
        <w:rPr>
          <w:rFonts w:eastAsia="Malgun Gothic" w:cs="Times New Roman"/>
          <w:b/>
          <w:sz w:val="20"/>
          <w:szCs w:val="20"/>
          <w:lang w:val="en-GB" w:eastAsia="x-none"/>
        </w:rPr>
        <w:t xml:space="preserve">Table </w:t>
      </w:r>
      <w:r w:rsidRPr="006E03D4">
        <w:rPr>
          <w:rFonts w:eastAsia="Malgun Gothic" w:cs="Times New Roman" w:hint="eastAsia"/>
          <w:b/>
          <w:sz w:val="20"/>
          <w:szCs w:val="20"/>
          <w:lang w:val="en-GB" w:eastAsia="ja-JP"/>
        </w:rPr>
        <w:t>B.3.3.2-</w:t>
      </w:r>
      <w:r w:rsidRPr="006E03D4">
        <w:rPr>
          <w:rFonts w:eastAsia="Malgun Gothic" w:cs="Times New Roman"/>
          <w:b/>
          <w:sz w:val="20"/>
          <w:szCs w:val="20"/>
          <w:lang w:val="en-GB" w:eastAsia="sv-SE"/>
        </w:rPr>
        <w:t>1</w:t>
      </w:r>
      <w:r w:rsidRPr="006E03D4">
        <w:rPr>
          <w:rFonts w:eastAsia="Malgun Gothic" w:cs="Times New Roman"/>
          <w:b/>
          <w:sz w:val="20"/>
          <w:szCs w:val="20"/>
          <w:lang w:val="en-GB" w:eastAsia="x-none"/>
        </w:rPr>
        <w:t xml:space="preserve">: </w:t>
      </w:r>
      <w:r w:rsidRPr="006E03D4">
        <w:rPr>
          <w:rFonts w:eastAsia="Malgun Gothic" w:cs="Times New Roman"/>
          <w:b/>
          <w:sz w:val="20"/>
          <w:szCs w:val="20"/>
          <w:lang w:val="en-GB" w:eastAsia="ja-JP"/>
        </w:rPr>
        <w:t>U</w:t>
      </w:r>
      <w:r w:rsidRPr="006E03D4">
        <w:rPr>
          <w:rFonts w:eastAsia="Malgun Gothic" w:cs="Times New Roman"/>
          <w:b/>
          <w:sz w:val="20"/>
          <w:szCs w:val="20"/>
          <w:lang w:val="en-GB" w:eastAsia="x-none"/>
        </w:rPr>
        <w:t>ncertainty contributions for T-put test with defined SNR 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E03D4" w:rsidRPr="006E03D4" w14:paraId="09A7B11E" w14:textId="77777777" w:rsidTr="0097354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2EF6B1"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6E03D4">
              <w:rPr>
                <w:rFonts w:eastAsia="Malgun Gothic" w:cs="Times New Roman"/>
                <w:b/>
                <w:sz w:val="18"/>
                <w:szCs w:val="20"/>
                <w:lang w:val="en-GB" w:eastAsia="en-US"/>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BA8E2F"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6E03D4">
              <w:rPr>
                <w:rFonts w:eastAsia="Malgun Gothic" w:cs="Times New Roman"/>
                <w:b/>
                <w:sz w:val="18"/>
                <w:szCs w:val="20"/>
                <w:lang w:val="en-GB" w:eastAsia="en-US"/>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9ED8F84"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6E03D4">
              <w:rPr>
                <w:rFonts w:eastAsia="Malgun Gothic" w:cs="Times New Roman"/>
                <w:b/>
                <w:sz w:val="18"/>
                <w:szCs w:val="20"/>
                <w:lang w:val="en-GB" w:eastAsia="en-US"/>
              </w:rPr>
              <w:t>Details in annex</w:t>
            </w:r>
          </w:p>
        </w:tc>
      </w:tr>
      <w:tr w:rsidR="006E03D4" w:rsidRPr="006E03D4" w14:paraId="71AF99EE" w14:textId="77777777" w:rsidTr="0097354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429089"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6E03D4">
              <w:rPr>
                <w:rFonts w:eastAsia="Malgun Gothic" w:cs="Times New Roman"/>
                <w:b/>
                <w:sz w:val="18"/>
                <w:szCs w:val="20"/>
                <w:lang w:val="en-GB" w:eastAsia="en-US"/>
              </w:rPr>
              <w:t>During T-put measurement</w:t>
            </w:r>
          </w:p>
        </w:tc>
      </w:tr>
      <w:tr w:rsidR="006E03D4" w:rsidRPr="006E03D4" w14:paraId="6A8ECD7C" w14:textId="77777777" w:rsidTr="0097354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B12835" w14:textId="77777777" w:rsidR="006E03D4" w:rsidRPr="006E03D4" w:rsidRDefault="006E03D4" w:rsidP="006E03D4">
            <w:pPr>
              <w:keepNext/>
              <w:keepLines/>
              <w:shd w:val="clear" w:color="auto" w:fill="D9D9D9" w:themeFill="background1" w:themeFillShade="D9"/>
              <w:spacing w:after="0" w:line="240" w:lineRule="auto"/>
              <w:rPr>
                <w:rFonts w:eastAsia="Malgun Gothic" w:cs="Times New Roman"/>
                <w:sz w:val="18"/>
                <w:szCs w:val="20"/>
                <w:lang w:val="en-GB" w:eastAsia="en-US"/>
              </w:rPr>
            </w:pPr>
            <w:r w:rsidRPr="006E03D4">
              <w:rPr>
                <w:rFonts w:eastAsia="Malgun Gothic" w:cs="Times New Roman"/>
                <w:sz w:val="18"/>
                <w:szCs w:val="20"/>
                <w:lang w:val="en-GB" w:eastAsia="en-US"/>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608273" w14:textId="77777777" w:rsidR="006E03D4" w:rsidRPr="006E03D4" w:rsidRDefault="006E03D4" w:rsidP="006E03D4">
            <w:pPr>
              <w:keepNext/>
              <w:keepLines/>
              <w:shd w:val="clear" w:color="auto" w:fill="D9D9D9" w:themeFill="background1" w:themeFillShade="D9"/>
              <w:spacing w:after="0" w:line="240" w:lineRule="auto"/>
              <w:rPr>
                <w:rFonts w:eastAsia="Malgun Gothic" w:cs="Times New Roman"/>
                <w:sz w:val="18"/>
                <w:szCs w:val="20"/>
                <w:lang w:val="en-GB" w:eastAsia="ja-JP"/>
              </w:rPr>
            </w:pPr>
            <w:r w:rsidRPr="006E03D4">
              <w:rPr>
                <w:rFonts w:eastAsia="Malgun Gothic" w:cs="Times New Roman"/>
                <w:sz w:val="18"/>
                <w:szCs w:val="20"/>
                <w:lang w:val="en-GB" w:eastAsia="ja-JP"/>
              </w:rPr>
              <w:t>gNB emulator SNR uncertainty</w:t>
            </w:r>
          </w:p>
        </w:tc>
        <w:tc>
          <w:tcPr>
            <w:tcW w:w="918" w:type="pct"/>
            <w:tcBorders>
              <w:top w:val="single" w:sz="6" w:space="0" w:color="auto"/>
              <w:left w:val="single" w:sz="6" w:space="0" w:color="auto"/>
              <w:bottom w:val="single" w:sz="6" w:space="0" w:color="auto"/>
              <w:right w:val="single" w:sz="6" w:space="0" w:color="auto"/>
            </w:tcBorders>
          </w:tcPr>
          <w:p w14:paraId="74793FBB"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6E03D4">
              <w:rPr>
                <w:rFonts w:eastAsia="Malgun Gothic" w:cs="Times New Roman"/>
                <w:sz w:val="18"/>
                <w:szCs w:val="20"/>
                <w:lang w:val="en-GB" w:eastAsia="en-US"/>
              </w:rPr>
              <w:t>B.3.3.4.1</w:t>
            </w:r>
          </w:p>
        </w:tc>
      </w:tr>
      <w:tr w:rsidR="006E03D4" w:rsidRPr="006E03D4" w14:paraId="156FEA85" w14:textId="77777777" w:rsidTr="0097354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6E0543" w14:textId="77777777" w:rsidR="006E03D4" w:rsidRPr="006E03D4" w:rsidRDefault="006E03D4" w:rsidP="006E03D4">
            <w:pPr>
              <w:keepNext/>
              <w:keepLines/>
              <w:shd w:val="clear" w:color="auto" w:fill="D9D9D9" w:themeFill="background1" w:themeFillShade="D9"/>
              <w:spacing w:after="0" w:line="240" w:lineRule="auto"/>
              <w:rPr>
                <w:rFonts w:eastAsia="Malgun Gothic" w:cs="Times New Roman"/>
                <w:sz w:val="18"/>
                <w:szCs w:val="20"/>
                <w:lang w:val="en-GB" w:eastAsia="en-US"/>
              </w:rPr>
            </w:pPr>
            <w:r w:rsidRPr="006E03D4">
              <w:rPr>
                <w:rFonts w:eastAsia="Malgun Gothic" w:cs="Times New Roman"/>
                <w:sz w:val="18"/>
                <w:szCs w:val="20"/>
                <w:lang w:val="en-GB" w:eastAsia="en-US"/>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CC8E71" w14:textId="77777777" w:rsidR="006E03D4" w:rsidRPr="006E03D4" w:rsidRDefault="006E03D4" w:rsidP="006E03D4">
            <w:pPr>
              <w:keepNext/>
              <w:keepLines/>
              <w:shd w:val="clear" w:color="auto" w:fill="D9D9D9" w:themeFill="background1" w:themeFillShade="D9"/>
              <w:spacing w:after="0" w:line="240" w:lineRule="auto"/>
              <w:rPr>
                <w:rFonts w:eastAsia="Malgun Gothic" w:cs="Times New Roman"/>
                <w:sz w:val="21"/>
                <w:szCs w:val="20"/>
                <w:lang w:val="en-GB" w:eastAsia="ja-JP"/>
              </w:rPr>
            </w:pPr>
            <w:r w:rsidRPr="006E03D4">
              <w:rPr>
                <w:rFonts w:eastAsia="Malgun Gothic" w:cs="Times New Roman"/>
                <w:sz w:val="18"/>
                <w:szCs w:val="20"/>
                <w:lang w:val="en-GB" w:eastAsia="ja-JP"/>
              </w:rPr>
              <w:t>gNB emulator DL EVM</w:t>
            </w:r>
          </w:p>
        </w:tc>
        <w:tc>
          <w:tcPr>
            <w:tcW w:w="918" w:type="pct"/>
            <w:tcBorders>
              <w:top w:val="single" w:sz="6" w:space="0" w:color="auto"/>
              <w:left w:val="single" w:sz="6" w:space="0" w:color="auto"/>
              <w:bottom w:val="single" w:sz="6" w:space="0" w:color="auto"/>
              <w:right w:val="single" w:sz="6" w:space="0" w:color="auto"/>
            </w:tcBorders>
          </w:tcPr>
          <w:p w14:paraId="78815A3E"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6E03D4">
              <w:rPr>
                <w:rFonts w:eastAsia="Malgun Gothic" w:cs="Times New Roman"/>
                <w:sz w:val="18"/>
                <w:szCs w:val="20"/>
                <w:lang w:val="en-GB" w:eastAsia="en-US"/>
              </w:rPr>
              <w:t>B.3.3.4.2</w:t>
            </w:r>
          </w:p>
        </w:tc>
      </w:tr>
      <w:tr w:rsidR="006E03D4" w:rsidRPr="006E03D4" w14:paraId="49041559" w14:textId="77777777" w:rsidTr="0097354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84BCAC" w14:textId="77777777" w:rsidR="006E03D4" w:rsidRPr="006E03D4" w:rsidRDefault="006E03D4" w:rsidP="006E03D4">
            <w:pPr>
              <w:keepNext/>
              <w:keepLines/>
              <w:shd w:val="clear" w:color="auto" w:fill="D9D9D9" w:themeFill="background1" w:themeFillShade="D9"/>
              <w:spacing w:after="0" w:line="240" w:lineRule="auto"/>
              <w:rPr>
                <w:rFonts w:eastAsia="Malgun Gothic" w:cs="Times New Roman"/>
                <w:sz w:val="18"/>
                <w:szCs w:val="20"/>
                <w:lang w:val="en-GB" w:eastAsia="en-US"/>
              </w:rPr>
            </w:pPr>
            <w:r w:rsidRPr="006E03D4">
              <w:rPr>
                <w:rFonts w:eastAsia="Malgun Gothic" w:cs="Times New Roman"/>
                <w:sz w:val="18"/>
                <w:szCs w:val="20"/>
                <w:lang w:val="en-GB" w:eastAsia="en-US"/>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46C97B" w14:textId="77777777" w:rsidR="006E03D4" w:rsidRPr="006E03D4" w:rsidRDefault="006E03D4" w:rsidP="006E03D4">
            <w:pPr>
              <w:keepNext/>
              <w:keepLines/>
              <w:shd w:val="clear" w:color="auto" w:fill="D9D9D9" w:themeFill="background1" w:themeFillShade="D9"/>
              <w:spacing w:after="0" w:line="240" w:lineRule="auto"/>
              <w:rPr>
                <w:rFonts w:eastAsia="Malgun Gothic" w:cs="Times New Roman"/>
                <w:sz w:val="18"/>
                <w:szCs w:val="20"/>
                <w:lang w:val="en-GB" w:eastAsia="en-US"/>
              </w:rPr>
            </w:pPr>
            <w:r w:rsidRPr="006E03D4">
              <w:rPr>
                <w:rFonts w:eastAsia="Malgun Gothic" w:cs="Times New Roman"/>
                <w:sz w:val="18"/>
                <w:szCs w:val="20"/>
                <w:lang w:val="en-GB" w:eastAsia="ja-JP"/>
              </w:rPr>
              <w:t>gNB emulator fading model impairments</w:t>
            </w:r>
          </w:p>
        </w:tc>
        <w:tc>
          <w:tcPr>
            <w:tcW w:w="918" w:type="pct"/>
            <w:tcBorders>
              <w:top w:val="single" w:sz="6" w:space="0" w:color="auto"/>
              <w:left w:val="single" w:sz="6" w:space="0" w:color="auto"/>
              <w:bottom w:val="single" w:sz="6" w:space="0" w:color="auto"/>
              <w:right w:val="single" w:sz="6" w:space="0" w:color="auto"/>
            </w:tcBorders>
          </w:tcPr>
          <w:p w14:paraId="22AC59F7" w14:textId="77777777" w:rsidR="006E03D4" w:rsidRPr="006E03D4" w:rsidRDefault="006E03D4" w:rsidP="006E03D4">
            <w:pPr>
              <w:keepNext/>
              <w:keepLines/>
              <w:shd w:val="clear" w:color="auto" w:fill="D9D9D9" w:themeFill="background1" w:themeFillShade="D9"/>
              <w:spacing w:after="0" w:line="240" w:lineRule="auto"/>
              <w:jc w:val="center"/>
              <w:rPr>
                <w:rFonts w:eastAsia="Malgun Gothic" w:cs="Times New Roman"/>
                <w:sz w:val="18"/>
                <w:szCs w:val="20"/>
                <w:lang w:val="en-GB"/>
              </w:rPr>
            </w:pPr>
            <w:r w:rsidRPr="006E03D4">
              <w:rPr>
                <w:rFonts w:eastAsia="Malgun Gothic" w:cs="Times New Roman"/>
                <w:sz w:val="18"/>
                <w:szCs w:val="20"/>
                <w:lang w:val="en-GB" w:eastAsia="en-US"/>
              </w:rPr>
              <w:t>B.3.3.4.3</w:t>
            </w:r>
          </w:p>
        </w:tc>
      </w:tr>
      <w:tr w:rsidR="006E03D4" w:rsidRPr="006E03D4" w14:paraId="0AD81960" w14:textId="77777777" w:rsidTr="0097354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CB3CF26" w14:textId="77777777" w:rsidR="006E03D4" w:rsidRPr="006E03D4" w:rsidRDefault="006E03D4" w:rsidP="006E03D4">
            <w:pPr>
              <w:keepNext/>
              <w:keepLines/>
              <w:shd w:val="clear" w:color="auto" w:fill="D9D9D9" w:themeFill="background1" w:themeFillShade="D9"/>
              <w:spacing w:after="0" w:line="240" w:lineRule="auto"/>
              <w:ind w:left="851" w:hanging="851"/>
              <w:rPr>
                <w:rFonts w:eastAsia="Malgun Gothic" w:cs="Times New Roman"/>
                <w:sz w:val="18"/>
                <w:szCs w:val="20"/>
                <w:lang w:val="en-GB" w:eastAsia="x-none"/>
              </w:rPr>
            </w:pPr>
            <w:r w:rsidRPr="006E03D4">
              <w:rPr>
                <w:rFonts w:eastAsia="Malgun Gothic" w:cs="Times New Roman"/>
                <w:sz w:val="18"/>
                <w:szCs w:val="20"/>
                <w:lang w:val="en-GB" w:eastAsia="x-none"/>
              </w:rPr>
              <w:t>Note 1:</w:t>
            </w:r>
            <w:r w:rsidRPr="006E03D4">
              <w:rPr>
                <w:rFonts w:eastAsia="Malgun Gothic" w:cs="Times New Roman"/>
                <w:sz w:val="18"/>
                <w:szCs w:val="20"/>
                <w:lang w:val="en-GB" w:eastAsia="x-none"/>
              </w:rPr>
              <w:tab/>
              <w:t>Handling of effects related to isolation and alignment of Horizontal / Vertical polarisation is not defined</w:t>
            </w:r>
          </w:p>
          <w:p w14:paraId="591EBA26" w14:textId="77777777" w:rsidR="006E03D4" w:rsidRPr="006E03D4" w:rsidRDefault="006E03D4" w:rsidP="006E03D4">
            <w:pPr>
              <w:keepNext/>
              <w:keepLines/>
              <w:shd w:val="clear" w:color="auto" w:fill="D9D9D9" w:themeFill="background1" w:themeFillShade="D9"/>
              <w:spacing w:after="0" w:line="240" w:lineRule="auto"/>
              <w:ind w:left="851" w:hanging="851"/>
              <w:rPr>
                <w:rFonts w:eastAsia="Malgun Gothic" w:cs="Times New Roman"/>
                <w:sz w:val="18"/>
                <w:szCs w:val="20"/>
                <w:lang w:val="en-GB" w:eastAsia="x-none"/>
              </w:rPr>
            </w:pPr>
            <w:r w:rsidRPr="006E03D4">
              <w:rPr>
                <w:rFonts w:eastAsia="Malgun Gothic" w:cs="Times New Roman"/>
                <w:sz w:val="18"/>
                <w:szCs w:val="20"/>
                <w:lang w:val="en-GB" w:eastAsia="x-none"/>
              </w:rPr>
              <w:t>Note 2:</w:t>
            </w:r>
            <w:r w:rsidRPr="006E03D4">
              <w:rPr>
                <w:rFonts w:eastAsia="Malgun Gothic" w:cs="Times New Roman"/>
                <w:sz w:val="18"/>
                <w:szCs w:val="20"/>
                <w:lang w:val="en-GB" w:eastAsia="x-none"/>
              </w:rPr>
              <w:tab/>
              <w:t>Handling of effects related to Quality of Quiet zone is not defined</w:t>
            </w:r>
          </w:p>
        </w:tc>
      </w:tr>
    </w:tbl>
    <w:p w14:paraId="1F523BFD" w14:textId="77777777" w:rsidR="006E03D4" w:rsidRPr="006E03D4" w:rsidRDefault="006E03D4" w:rsidP="006E03D4">
      <w:pPr>
        <w:spacing w:after="180" w:line="240" w:lineRule="auto"/>
        <w:rPr>
          <w:rFonts w:ascii="Times New Roman" w:eastAsia="Malgun Gothic" w:hAnsi="Times New Roman" w:cs="Times New Roman"/>
          <w:sz w:val="20"/>
          <w:szCs w:val="20"/>
          <w:lang w:val="en-GB"/>
        </w:rPr>
      </w:pPr>
    </w:p>
    <w:p w14:paraId="3B00247F" w14:textId="77777777" w:rsidR="003242AC" w:rsidRPr="003242AC" w:rsidRDefault="003242AC" w:rsidP="002C64D8">
      <w:pPr>
        <w:keepNext/>
        <w:keepLines/>
        <w:shd w:val="clear" w:color="auto" w:fill="D9D9D9" w:themeFill="background1" w:themeFillShade="D9"/>
        <w:spacing w:before="60" w:after="180" w:line="240" w:lineRule="auto"/>
        <w:jc w:val="center"/>
        <w:rPr>
          <w:rFonts w:eastAsia="Malgun Gothic" w:cs="Times New Roman"/>
          <w:b/>
          <w:sz w:val="20"/>
          <w:szCs w:val="20"/>
          <w:lang w:val="en-GB" w:eastAsia="x-none"/>
        </w:rPr>
      </w:pPr>
      <w:r w:rsidRPr="003242AC">
        <w:rPr>
          <w:rFonts w:eastAsia="Malgun Gothic" w:cs="Times New Roman"/>
          <w:b/>
          <w:sz w:val="20"/>
          <w:szCs w:val="20"/>
          <w:lang w:val="en-GB" w:eastAsia="x-none"/>
        </w:rPr>
        <w:t xml:space="preserve">Table </w:t>
      </w:r>
      <w:r w:rsidRPr="003242AC">
        <w:rPr>
          <w:rFonts w:eastAsia="Malgun Gothic" w:cs="Times New Roman" w:hint="eastAsia"/>
          <w:b/>
          <w:sz w:val="20"/>
          <w:szCs w:val="20"/>
          <w:lang w:val="en-GB" w:eastAsia="ja-JP"/>
        </w:rPr>
        <w:t>B.3.3.</w:t>
      </w:r>
      <w:r w:rsidRPr="003242AC">
        <w:rPr>
          <w:rFonts w:eastAsia="Malgun Gothic" w:cs="Times New Roman"/>
          <w:b/>
          <w:sz w:val="20"/>
          <w:szCs w:val="20"/>
          <w:lang w:val="en-GB" w:eastAsia="ja-JP"/>
        </w:rPr>
        <w:t>3-</w:t>
      </w:r>
      <w:r w:rsidRPr="003242AC">
        <w:rPr>
          <w:rFonts w:eastAsia="Malgun Gothic" w:cs="Times New Roman"/>
          <w:b/>
          <w:sz w:val="20"/>
          <w:szCs w:val="20"/>
          <w:lang w:val="en-GB" w:eastAsia="sv-SE"/>
        </w:rPr>
        <w:t>1</w:t>
      </w:r>
      <w:r w:rsidRPr="003242AC">
        <w:rPr>
          <w:rFonts w:eastAsia="Malgun Gothic" w:cs="Times New Roman"/>
          <w:b/>
          <w:sz w:val="20"/>
          <w:szCs w:val="20"/>
          <w:lang w:val="en-GB" w:eastAsia="x-none"/>
        </w:rPr>
        <w:t xml:space="preserve">: </w:t>
      </w:r>
      <w:r w:rsidRPr="003242AC">
        <w:rPr>
          <w:rFonts w:eastAsia="Malgun Gothic" w:cs="Times New Roman"/>
          <w:b/>
          <w:sz w:val="20"/>
          <w:szCs w:val="20"/>
          <w:lang w:val="en-GB" w:eastAsia="ja-JP"/>
        </w:rPr>
        <w:t>U</w:t>
      </w:r>
      <w:r w:rsidRPr="003242AC">
        <w:rPr>
          <w:rFonts w:eastAsia="Malgun Gothic" w:cs="Times New Roman"/>
          <w:b/>
          <w:sz w:val="20"/>
          <w:szCs w:val="20"/>
          <w:lang w:val="en-GB" w:eastAsia="x-none"/>
        </w:rPr>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3242AC" w:rsidRPr="003242AC" w14:paraId="3CBEDC13" w14:textId="77777777" w:rsidTr="00973543">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0F84F17C"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A30D140"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3DD86EB9"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Uncertainty value</w:t>
            </w:r>
          </w:p>
          <w:p w14:paraId="331C8D65"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p>
        </w:tc>
        <w:tc>
          <w:tcPr>
            <w:tcW w:w="1560" w:type="dxa"/>
            <w:tcBorders>
              <w:top w:val="single" w:sz="6" w:space="0" w:color="auto"/>
              <w:left w:val="single" w:sz="6" w:space="0" w:color="auto"/>
              <w:bottom w:val="single" w:sz="6" w:space="0" w:color="auto"/>
              <w:right w:val="single" w:sz="6" w:space="0" w:color="auto"/>
            </w:tcBorders>
          </w:tcPr>
          <w:p w14:paraId="69691B87"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05200F5"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4FB7498"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Standard uncertainty (σ) [dB]</w:t>
            </w:r>
          </w:p>
          <w:p w14:paraId="1DB4D0E6"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p>
        </w:tc>
      </w:tr>
      <w:tr w:rsidR="003242AC" w:rsidRPr="003242AC" w14:paraId="01EEB7F1" w14:textId="77777777" w:rsidTr="00973543">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010D9A8D"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242AC">
              <w:rPr>
                <w:rFonts w:eastAsia="Malgun Gothic" w:cs="Times New Roman"/>
                <w:b/>
                <w:sz w:val="18"/>
                <w:szCs w:val="20"/>
                <w:lang w:val="en-GB" w:eastAsia="en-US"/>
              </w:rPr>
              <w:t>During T-put measurement</w:t>
            </w:r>
          </w:p>
        </w:tc>
      </w:tr>
      <w:tr w:rsidR="003242AC" w:rsidRPr="003242AC" w14:paraId="6D06E8DA" w14:textId="77777777" w:rsidTr="00973543">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3E134C2E" w14:textId="77777777" w:rsidR="003242AC" w:rsidRPr="003242AC" w:rsidRDefault="003242AC" w:rsidP="002C64D8">
            <w:pPr>
              <w:keepNext/>
              <w:keepLines/>
              <w:shd w:val="clear" w:color="auto" w:fill="D9D9D9" w:themeFill="background1" w:themeFillShade="D9"/>
              <w:spacing w:after="0" w:line="240" w:lineRule="auto"/>
              <w:rPr>
                <w:rFonts w:eastAsia="Malgun Gothic" w:cs="Times New Roman"/>
                <w:sz w:val="18"/>
                <w:szCs w:val="20"/>
                <w:lang w:val="en-GB" w:eastAsia="en-US"/>
              </w:rPr>
            </w:pPr>
            <w:r w:rsidRPr="003242AC">
              <w:rPr>
                <w:rFonts w:eastAsia="Malgun Gothic" w:cs="Times New Roman"/>
                <w:sz w:val="18"/>
                <w:szCs w:val="20"/>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5E4576" w14:textId="77777777" w:rsidR="003242AC" w:rsidRPr="003242AC" w:rsidRDefault="003242AC" w:rsidP="002C64D8">
            <w:pPr>
              <w:keepNext/>
              <w:keepLines/>
              <w:shd w:val="clear" w:color="auto" w:fill="D9D9D9" w:themeFill="background1" w:themeFillShade="D9"/>
              <w:spacing w:after="0" w:line="240" w:lineRule="auto"/>
              <w:rPr>
                <w:rFonts w:eastAsia="Malgun Gothic" w:cs="Times New Roman"/>
                <w:sz w:val="18"/>
                <w:szCs w:val="20"/>
                <w:lang w:val="en-GB" w:eastAsia="ja-JP"/>
              </w:rPr>
            </w:pPr>
            <w:r w:rsidRPr="003242AC">
              <w:rPr>
                <w:rFonts w:eastAsia="Malgun Gothic" w:cs="Times New Roman"/>
                <w:sz w:val="18"/>
                <w:szCs w:val="20"/>
                <w:lang w:val="en-GB"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14:paraId="0C9B6256"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0.3dB</w:t>
            </w:r>
          </w:p>
        </w:tc>
        <w:tc>
          <w:tcPr>
            <w:tcW w:w="1560" w:type="dxa"/>
            <w:tcBorders>
              <w:top w:val="single" w:sz="6" w:space="0" w:color="auto"/>
              <w:left w:val="single" w:sz="6" w:space="0" w:color="auto"/>
              <w:bottom w:val="single" w:sz="6" w:space="0" w:color="auto"/>
              <w:right w:val="single" w:sz="6" w:space="0" w:color="auto"/>
            </w:tcBorders>
          </w:tcPr>
          <w:p w14:paraId="401845FF"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Normal</w:t>
            </w:r>
          </w:p>
        </w:tc>
        <w:tc>
          <w:tcPr>
            <w:tcW w:w="992" w:type="dxa"/>
            <w:tcBorders>
              <w:top w:val="single" w:sz="6" w:space="0" w:color="auto"/>
              <w:left w:val="single" w:sz="6" w:space="0" w:color="auto"/>
              <w:bottom w:val="single" w:sz="6" w:space="0" w:color="auto"/>
              <w:right w:val="single" w:sz="6" w:space="0" w:color="auto"/>
            </w:tcBorders>
          </w:tcPr>
          <w:p w14:paraId="7E422FC9"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2.00</w:t>
            </w:r>
          </w:p>
        </w:tc>
        <w:tc>
          <w:tcPr>
            <w:tcW w:w="1210" w:type="dxa"/>
            <w:tcBorders>
              <w:top w:val="single" w:sz="6" w:space="0" w:color="auto"/>
              <w:left w:val="single" w:sz="6" w:space="0" w:color="auto"/>
              <w:bottom w:val="single" w:sz="6" w:space="0" w:color="auto"/>
              <w:right w:val="single" w:sz="6" w:space="0" w:color="auto"/>
            </w:tcBorders>
          </w:tcPr>
          <w:p w14:paraId="4C301E4A"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0.15</w:t>
            </w:r>
          </w:p>
        </w:tc>
      </w:tr>
      <w:tr w:rsidR="003242AC" w:rsidRPr="003242AC" w14:paraId="5A1458F9" w14:textId="77777777" w:rsidTr="00973543">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3D1FE995" w14:textId="77777777" w:rsidR="003242AC" w:rsidRPr="003242AC" w:rsidRDefault="003242AC" w:rsidP="002C64D8">
            <w:pPr>
              <w:keepNext/>
              <w:keepLines/>
              <w:shd w:val="clear" w:color="auto" w:fill="D9D9D9" w:themeFill="background1" w:themeFillShade="D9"/>
              <w:spacing w:after="0" w:line="240" w:lineRule="auto"/>
              <w:rPr>
                <w:rFonts w:eastAsia="Malgun Gothic" w:cs="Times New Roman"/>
                <w:sz w:val="18"/>
                <w:szCs w:val="20"/>
                <w:lang w:val="en-GB" w:eastAsia="en-US"/>
              </w:rPr>
            </w:pPr>
            <w:r w:rsidRPr="003242AC">
              <w:rPr>
                <w:rFonts w:eastAsia="Malgun Gothic" w:cs="Times New Roman"/>
                <w:sz w:val="18"/>
                <w:szCs w:val="20"/>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C50D2AC" w14:textId="77777777" w:rsidR="003242AC" w:rsidRPr="003242AC" w:rsidRDefault="003242AC" w:rsidP="002C64D8">
            <w:pPr>
              <w:keepNext/>
              <w:keepLines/>
              <w:shd w:val="clear" w:color="auto" w:fill="D9D9D9" w:themeFill="background1" w:themeFillShade="D9"/>
              <w:spacing w:after="0" w:line="240" w:lineRule="auto"/>
              <w:rPr>
                <w:rFonts w:eastAsia="Malgun Gothic" w:cs="Times New Roman"/>
                <w:sz w:val="18"/>
                <w:szCs w:val="20"/>
                <w:lang w:val="en-GB" w:eastAsia="ja-JP"/>
              </w:rPr>
            </w:pPr>
            <w:r w:rsidRPr="003242AC">
              <w:rPr>
                <w:rFonts w:eastAsia="Malgun Gothic" w:cs="Times New Roman"/>
                <w:sz w:val="18"/>
                <w:szCs w:val="20"/>
                <w:lang w:val="en-GB" w:eastAsia="ja-JP"/>
              </w:rPr>
              <w:t>gNB emulator DL EVM</w:t>
            </w:r>
          </w:p>
        </w:tc>
        <w:tc>
          <w:tcPr>
            <w:tcW w:w="1134" w:type="dxa"/>
            <w:tcBorders>
              <w:top w:val="single" w:sz="6" w:space="0" w:color="auto"/>
              <w:left w:val="single" w:sz="6" w:space="0" w:color="auto"/>
              <w:bottom w:val="single" w:sz="6" w:space="0" w:color="auto"/>
              <w:right w:val="single" w:sz="6" w:space="0" w:color="auto"/>
            </w:tcBorders>
          </w:tcPr>
          <w:p w14:paraId="13AEC649"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w:t>
            </w:r>
          </w:p>
        </w:tc>
        <w:tc>
          <w:tcPr>
            <w:tcW w:w="1560" w:type="dxa"/>
            <w:tcBorders>
              <w:top w:val="single" w:sz="6" w:space="0" w:color="auto"/>
              <w:left w:val="single" w:sz="6" w:space="0" w:color="auto"/>
              <w:bottom w:val="single" w:sz="6" w:space="0" w:color="auto"/>
              <w:right w:val="single" w:sz="6" w:space="0" w:color="auto"/>
            </w:tcBorders>
          </w:tcPr>
          <w:p w14:paraId="32F9A208"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14:paraId="2DC9D9A2"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w:t>
            </w:r>
          </w:p>
        </w:tc>
        <w:tc>
          <w:tcPr>
            <w:tcW w:w="1210" w:type="dxa"/>
            <w:tcBorders>
              <w:top w:val="single" w:sz="6" w:space="0" w:color="auto"/>
              <w:left w:val="single" w:sz="6" w:space="0" w:color="auto"/>
              <w:bottom w:val="single" w:sz="6" w:space="0" w:color="auto"/>
              <w:right w:val="single" w:sz="6" w:space="0" w:color="auto"/>
            </w:tcBorders>
          </w:tcPr>
          <w:p w14:paraId="33AEF5B1"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0</w:t>
            </w:r>
          </w:p>
        </w:tc>
      </w:tr>
      <w:tr w:rsidR="003242AC" w:rsidRPr="003242AC" w14:paraId="67E9A0BD" w14:textId="77777777" w:rsidTr="00973543">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59A621D8" w14:textId="77777777" w:rsidR="003242AC" w:rsidRPr="003242AC" w:rsidRDefault="003242AC" w:rsidP="002C64D8">
            <w:pPr>
              <w:keepNext/>
              <w:keepLines/>
              <w:shd w:val="clear" w:color="auto" w:fill="D9D9D9" w:themeFill="background1" w:themeFillShade="D9"/>
              <w:spacing w:after="0" w:line="240" w:lineRule="auto"/>
              <w:rPr>
                <w:rFonts w:eastAsia="Malgun Gothic" w:cs="Times New Roman"/>
                <w:sz w:val="18"/>
                <w:szCs w:val="20"/>
                <w:lang w:val="en-GB" w:eastAsia="en-US"/>
              </w:rPr>
            </w:pPr>
            <w:r w:rsidRPr="003242AC">
              <w:rPr>
                <w:rFonts w:eastAsia="Malgun Gothic" w:cs="Times New Roman"/>
                <w:sz w:val="18"/>
                <w:szCs w:val="20"/>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56D500E" w14:textId="77777777" w:rsidR="003242AC" w:rsidRPr="003242AC" w:rsidRDefault="003242AC" w:rsidP="002C64D8">
            <w:pPr>
              <w:keepNext/>
              <w:keepLines/>
              <w:shd w:val="clear" w:color="auto" w:fill="D9D9D9" w:themeFill="background1" w:themeFillShade="D9"/>
              <w:spacing w:after="0" w:line="240" w:lineRule="auto"/>
              <w:rPr>
                <w:rFonts w:eastAsia="Malgun Gothic" w:cs="Times New Roman"/>
                <w:sz w:val="18"/>
                <w:szCs w:val="20"/>
                <w:lang w:val="en-GB" w:eastAsia="ja-JP"/>
              </w:rPr>
            </w:pPr>
            <w:r w:rsidRPr="003242AC">
              <w:rPr>
                <w:rFonts w:eastAsia="Malgun Gothic" w:cs="Times New Roman"/>
                <w:sz w:val="18"/>
                <w:szCs w:val="20"/>
                <w:lang w:val="en-GB" w:eastAsia="ja-JP"/>
              </w:rPr>
              <w:t xml:space="preserve">gNB emulator fading model impairments </w:t>
            </w:r>
            <w:r w:rsidRPr="003242AC">
              <w:rPr>
                <w:rFonts w:eastAsia="Malgun Gothic" w:cs="Times New Roman"/>
                <w:sz w:val="18"/>
                <w:szCs w:val="20"/>
                <w:vertAlign w:val="superscript"/>
                <w:lang w:val="en-GB" w:eastAsia="ja-JP"/>
              </w:rPr>
              <w:t>Note 3</w:t>
            </w:r>
          </w:p>
        </w:tc>
        <w:tc>
          <w:tcPr>
            <w:tcW w:w="1134" w:type="dxa"/>
            <w:tcBorders>
              <w:top w:val="single" w:sz="6" w:space="0" w:color="auto"/>
              <w:left w:val="single" w:sz="6" w:space="0" w:color="auto"/>
              <w:bottom w:val="single" w:sz="6" w:space="0" w:color="auto"/>
              <w:right w:val="single" w:sz="6" w:space="0" w:color="auto"/>
            </w:tcBorders>
          </w:tcPr>
          <w:p w14:paraId="5DA51B33"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[0.5dB]</w:t>
            </w:r>
          </w:p>
        </w:tc>
        <w:tc>
          <w:tcPr>
            <w:tcW w:w="1560" w:type="dxa"/>
            <w:tcBorders>
              <w:top w:val="single" w:sz="6" w:space="0" w:color="auto"/>
              <w:left w:val="single" w:sz="6" w:space="0" w:color="auto"/>
              <w:bottom w:val="single" w:sz="6" w:space="0" w:color="auto"/>
              <w:right w:val="single" w:sz="6" w:space="0" w:color="auto"/>
            </w:tcBorders>
          </w:tcPr>
          <w:p w14:paraId="221165DF"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Normal</w:t>
            </w:r>
          </w:p>
        </w:tc>
        <w:tc>
          <w:tcPr>
            <w:tcW w:w="992" w:type="dxa"/>
            <w:tcBorders>
              <w:top w:val="single" w:sz="6" w:space="0" w:color="auto"/>
              <w:left w:val="single" w:sz="6" w:space="0" w:color="auto"/>
              <w:bottom w:val="single" w:sz="6" w:space="0" w:color="auto"/>
              <w:right w:val="single" w:sz="6" w:space="0" w:color="auto"/>
            </w:tcBorders>
          </w:tcPr>
          <w:p w14:paraId="107DD689"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2.00</w:t>
            </w:r>
          </w:p>
        </w:tc>
        <w:tc>
          <w:tcPr>
            <w:tcW w:w="1210" w:type="dxa"/>
            <w:tcBorders>
              <w:top w:val="single" w:sz="6" w:space="0" w:color="auto"/>
              <w:left w:val="single" w:sz="6" w:space="0" w:color="auto"/>
              <w:bottom w:val="single" w:sz="6" w:space="0" w:color="auto"/>
              <w:right w:val="single" w:sz="6" w:space="0" w:color="auto"/>
            </w:tcBorders>
          </w:tcPr>
          <w:p w14:paraId="469BF3ED"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ja-JP"/>
              </w:rPr>
            </w:pPr>
            <w:r w:rsidRPr="003242AC">
              <w:rPr>
                <w:rFonts w:eastAsia="Malgun Gothic" w:cs="Times New Roman"/>
                <w:sz w:val="18"/>
                <w:szCs w:val="20"/>
                <w:lang w:val="en-GB" w:eastAsia="x-none"/>
              </w:rPr>
              <w:t>[0.25]</w:t>
            </w:r>
          </w:p>
        </w:tc>
      </w:tr>
      <w:tr w:rsidR="003242AC" w:rsidRPr="003242AC" w14:paraId="5FB768EE" w14:textId="77777777" w:rsidTr="00973543">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08C8641B"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x-none"/>
              </w:rPr>
            </w:pPr>
            <w:r w:rsidRPr="003242AC">
              <w:rPr>
                <w:rFonts w:eastAsia="Malgun Gothic" w:cs="Times New Roman"/>
                <w:sz w:val="18"/>
                <w:szCs w:val="20"/>
                <w:lang w:val="en-GB"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AB51370" w14:textId="77777777" w:rsidR="003242AC" w:rsidRPr="003242AC" w:rsidRDefault="003242AC" w:rsidP="002C64D8">
            <w:pPr>
              <w:keepNext/>
              <w:keepLines/>
              <w:shd w:val="clear" w:color="auto" w:fill="D9D9D9" w:themeFill="background1" w:themeFillShade="D9"/>
              <w:spacing w:after="0" w:line="240" w:lineRule="auto"/>
              <w:jc w:val="center"/>
              <w:rPr>
                <w:rFonts w:eastAsia="Malgun Gothic" w:cs="Times New Roman"/>
                <w:sz w:val="18"/>
                <w:szCs w:val="20"/>
                <w:lang w:val="en-GB" w:eastAsia="x-none"/>
              </w:rPr>
            </w:pPr>
            <w:r w:rsidRPr="003242AC">
              <w:rPr>
                <w:rFonts w:eastAsia="Malgun Gothic" w:cs="Times New Roman"/>
                <w:sz w:val="18"/>
                <w:szCs w:val="20"/>
                <w:lang w:val="en-GB" w:eastAsia="x-none"/>
              </w:rPr>
              <w:t>[0.57]</w:t>
            </w:r>
          </w:p>
        </w:tc>
      </w:tr>
      <w:tr w:rsidR="003242AC" w:rsidRPr="003242AC" w14:paraId="7692F166" w14:textId="77777777" w:rsidTr="00973543">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1A4169F9" w14:textId="77777777" w:rsidR="003242AC" w:rsidRPr="003242AC" w:rsidRDefault="003242AC" w:rsidP="002C64D8">
            <w:pPr>
              <w:keepNext/>
              <w:keepLines/>
              <w:shd w:val="clear" w:color="auto" w:fill="D9D9D9" w:themeFill="background1" w:themeFillShade="D9"/>
              <w:spacing w:after="0" w:line="240" w:lineRule="auto"/>
              <w:ind w:left="851" w:hanging="851"/>
              <w:rPr>
                <w:rFonts w:eastAsia="Malgun Gothic" w:cs="Times New Roman"/>
                <w:sz w:val="18"/>
                <w:szCs w:val="20"/>
                <w:lang w:val="en-GB" w:eastAsia="x-none"/>
              </w:rPr>
            </w:pPr>
            <w:r w:rsidRPr="003242AC">
              <w:rPr>
                <w:rFonts w:eastAsia="Malgun Gothic" w:cs="Times New Roman"/>
                <w:sz w:val="18"/>
                <w:szCs w:val="20"/>
                <w:lang w:val="en-GB" w:eastAsia="x-none"/>
              </w:rPr>
              <w:t>Note 1:</w:t>
            </w:r>
            <w:r w:rsidRPr="003242AC">
              <w:rPr>
                <w:rFonts w:eastAsia="Malgun Gothic" w:cs="Times New Roman"/>
                <w:sz w:val="18"/>
                <w:szCs w:val="20"/>
                <w:lang w:val="en-GB" w:eastAsia="x-none"/>
              </w:rPr>
              <w:tab/>
              <w:t>Handling of effects related to isolation and alignment of Horizontal / Vertical polarisation is not defined</w:t>
            </w:r>
          </w:p>
          <w:p w14:paraId="5A8B446E" w14:textId="77777777" w:rsidR="003242AC" w:rsidRPr="003242AC" w:rsidRDefault="003242AC" w:rsidP="002C64D8">
            <w:pPr>
              <w:keepNext/>
              <w:keepLines/>
              <w:shd w:val="clear" w:color="auto" w:fill="D9D9D9" w:themeFill="background1" w:themeFillShade="D9"/>
              <w:spacing w:after="0" w:line="240" w:lineRule="auto"/>
              <w:ind w:left="851" w:hanging="851"/>
              <w:rPr>
                <w:rFonts w:eastAsia="Malgun Gothic" w:cs="Times New Roman"/>
                <w:sz w:val="18"/>
                <w:szCs w:val="20"/>
                <w:lang w:val="en-GB" w:eastAsia="x-none"/>
              </w:rPr>
            </w:pPr>
            <w:r w:rsidRPr="003242AC">
              <w:rPr>
                <w:rFonts w:eastAsia="Malgun Gothic" w:cs="Times New Roman"/>
                <w:sz w:val="18"/>
                <w:szCs w:val="20"/>
                <w:lang w:val="en-GB" w:eastAsia="x-none"/>
              </w:rPr>
              <w:t>Note 2:</w:t>
            </w:r>
            <w:r w:rsidRPr="003242AC">
              <w:rPr>
                <w:rFonts w:eastAsia="Malgun Gothic" w:cs="Times New Roman"/>
                <w:sz w:val="18"/>
                <w:szCs w:val="20"/>
                <w:lang w:val="en-GB" w:eastAsia="x-none"/>
              </w:rPr>
              <w:tab/>
              <w:t>Handling of effects related to Quality of Quiet zone is not defined</w:t>
            </w:r>
          </w:p>
          <w:p w14:paraId="2BCD1B09" w14:textId="77777777" w:rsidR="003242AC" w:rsidRPr="003242AC" w:rsidRDefault="003242AC" w:rsidP="002C64D8">
            <w:pPr>
              <w:keepNext/>
              <w:keepLines/>
              <w:shd w:val="clear" w:color="auto" w:fill="D9D9D9" w:themeFill="background1" w:themeFillShade="D9"/>
              <w:spacing w:after="0" w:line="240" w:lineRule="auto"/>
              <w:ind w:left="851" w:hanging="851"/>
              <w:rPr>
                <w:rFonts w:eastAsia="Malgun Gothic" w:cs="Times New Roman"/>
                <w:sz w:val="18"/>
                <w:szCs w:val="20"/>
                <w:lang w:val="en-GB" w:eastAsia="x-none"/>
              </w:rPr>
            </w:pPr>
            <w:r w:rsidRPr="003242AC">
              <w:rPr>
                <w:rFonts w:eastAsia="Malgun Gothic" w:cs="Times New Roman"/>
                <w:sz w:val="18"/>
                <w:szCs w:val="20"/>
                <w:lang w:val="en-GB" w:eastAsia="x-none"/>
              </w:rPr>
              <w:t>Note 3:</w:t>
            </w:r>
            <w:r w:rsidRPr="003242AC">
              <w:rPr>
                <w:rFonts w:eastAsia="Malgun Gothic" w:cs="Times New Roman"/>
                <w:sz w:val="18"/>
                <w:szCs w:val="20"/>
                <w:lang w:val="en-GB" w:eastAsia="x-none"/>
              </w:rPr>
              <w:tab/>
              <w:t>The value is same as for LTE and shall be verified for other channel models by RAN5 during detailed MU assessment</w:t>
            </w:r>
          </w:p>
        </w:tc>
      </w:tr>
    </w:tbl>
    <w:p w14:paraId="2F68F4BC" w14:textId="77777777" w:rsidR="006E03D4" w:rsidRPr="006E03D4" w:rsidRDefault="006E03D4" w:rsidP="0079136A">
      <w:pPr>
        <w:rPr>
          <w:iCs/>
          <w:szCs w:val="18"/>
          <w:lang w:val="en-GB" w:eastAsia="de-DE"/>
        </w:rPr>
      </w:pPr>
    </w:p>
    <w:p w14:paraId="0CA835DB" w14:textId="3C881F7E" w:rsidR="0079136A" w:rsidRPr="002C64D8" w:rsidRDefault="002C64D8" w:rsidP="002C64D8">
      <w:pPr>
        <w:rPr>
          <w:color w:val="000000" w:themeColor="text1"/>
        </w:rPr>
      </w:pPr>
      <w:r>
        <w:rPr>
          <w:color w:val="000000" w:themeColor="text1"/>
          <w:lang w:val="en-GB"/>
        </w:rPr>
        <w:t>The tables in Figure 1 can be used as a basis for the per test case tables but need to be complemented by MU contributors such as the e</w:t>
      </w:r>
      <w:r w:rsidRPr="002C64D8">
        <w:rPr>
          <w:color w:val="000000" w:themeColor="text1"/>
          <w:lang w:val="en-GB"/>
        </w:rPr>
        <w:t>ffect of AWGN flatness and signal flatness</w:t>
      </w:r>
      <w:r>
        <w:rPr>
          <w:color w:val="000000" w:themeColor="text1"/>
          <w:lang w:val="en-GB"/>
        </w:rPr>
        <w:t xml:space="preserve"> and r</w:t>
      </w:r>
      <w:r w:rsidRPr="002C64D8">
        <w:rPr>
          <w:color w:val="000000" w:themeColor="text1"/>
          <w:lang w:val="en-GB"/>
        </w:rPr>
        <w:t>esult variation due to finite test time</w:t>
      </w:r>
      <w:r>
        <w:rPr>
          <w:color w:val="000000" w:themeColor="text1"/>
          <w:lang w:val="en-GB"/>
        </w:rPr>
        <w:t>, etc. when applicable.</w:t>
      </w:r>
    </w:p>
    <w:p w14:paraId="44BBAA03" w14:textId="4E595EBC" w:rsidR="00981948" w:rsidRPr="002C64D8" w:rsidRDefault="002C64D8" w:rsidP="005E31AA">
      <w:pPr>
        <w:rPr>
          <w:color w:val="000000" w:themeColor="text1"/>
          <w:lang w:eastAsia="en-US"/>
        </w:rPr>
      </w:pPr>
      <w:r>
        <w:rPr>
          <w:color w:val="000000" w:themeColor="text1"/>
          <w:lang w:eastAsia="en-US"/>
        </w:rPr>
        <w:t xml:space="preserve">The MU table for the </w:t>
      </w:r>
      <w:r w:rsidRPr="002C64D8">
        <w:rPr>
          <w:color w:val="000000" w:themeColor="text1"/>
          <w:lang w:eastAsia="en-US"/>
        </w:rPr>
        <w:t>AWGN absolute power uncertainty</w:t>
      </w:r>
      <w:r>
        <w:rPr>
          <w:color w:val="000000" w:themeColor="text1"/>
          <w:lang w:eastAsia="en-US"/>
        </w:rPr>
        <w:t xml:space="preserve"> can be based on the contributors of the reference sensitivity MU, i.e., Table B.19.2-1 of TR 38.903 except UID 28 as shown in Table 3.</w:t>
      </w:r>
    </w:p>
    <w:p w14:paraId="60EA8B3D" w14:textId="2D5DF696" w:rsidR="007A1300" w:rsidRPr="00152660" w:rsidRDefault="007A1300" w:rsidP="005E31AA">
      <w:pPr>
        <w:rPr>
          <w:b/>
          <w:lang w:eastAsia="en-US"/>
        </w:rPr>
      </w:pPr>
    </w:p>
    <w:p w14:paraId="5E9F2903" w14:textId="19BC14DB" w:rsidR="00981948" w:rsidRPr="00A561C1" w:rsidRDefault="00981948" w:rsidP="00981948">
      <w:pPr>
        <w:keepNext/>
        <w:keepLines/>
        <w:overflowPunct w:val="0"/>
        <w:autoSpaceDE w:val="0"/>
        <w:autoSpaceDN w:val="0"/>
        <w:adjustRightInd w:val="0"/>
        <w:spacing w:before="60" w:after="180" w:line="240" w:lineRule="auto"/>
        <w:jc w:val="center"/>
        <w:rPr>
          <w:rFonts w:eastAsia="Times New Roman"/>
          <w:b/>
          <w:sz w:val="20"/>
          <w:szCs w:val="20"/>
          <w:lang w:eastAsia="en-GB"/>
        </w:rPr>
      </w:pPr>
    </w:p>
    <w:p w14:paraId="3CF1D231" w14:textId="62662E60" w:rsidR="00177009" w:rsidRDefault="00177009" w:rsidP="00177009">
      <w:pPr>
        <w:pStyle w:val="Beschriftung"/>
        <w:keepNext/>
      </w:pPr>
      <w:bookmarkStart w:id="2" w:name="_Ref16078040"/>
      <w:r>
        <w:t xml:space="preserve">Table </w:t>
      </w:r>
      <w:r>
        <w:fldChar w:fldCharType="begin"/>
      </w:r>
      <w:r>
        <w:instrText xml:space="preserve"> SEQ Table \* ARABIC </w:instrText>
      </w:r>
      <w:r>
        <w:fldChar w:fldCharType="separate"/>
      </w:r>
      <w:r>
        <w:rPr>
          <w:noProof/>
        </w:rPr>
        <w:t>3</w:t>
      </w:r>
      <w:r>
        <w:fldChar w:fldCharType="end"/>
      </w:r>
      <w:bookmarkEnd w:id="2"/>
      <w:r>
        <w:t xml:space="preserve">: </w:t>
      </w:r>
      <w:r w:rsidRPr="00177009">
        <w:t>Uncertainty contributions for EIS measurement</w:t>
      </w:r>
    </w:p>
    <w:tbl>
      <w:tblPr>
        <w:tblW w:w="8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552"/>
        <w:gridCol w:w="4308"/>
        <w:gridCol w:w="9"/>
        <w:gridCol w:w="2912"/>
      </w:tblGrid>
      <w:tr w:rsidR="00981948" w:rsidRPr="00981948" w14:paraId="30478B68"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1AF54BDB"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b/>
                <w:sz w:val="18"/>
                <w:szCs w:val="20"/>
                <w:lang w:val="en-GB" w:eastAsia="en-GB"/>
              </w:rPr>
            </w:pPr>
            <w:r w:rsidRPr="00981948">
              <w:rPr>
                <w:rFonts w:eastAsia="Times New Roman"/>
                <w:b/>
                <w:sz w:val="18"/>
                <w:szCs w:val="20"/>
                <w:lang w:val="en-GB" w:eastAsia="en-GB"/>
              </w:rPr>
              <w:t>UID</w:t>
            </w:r>
          </w:p>
        </w:tc>
        <w:tc>
          <w:tcPr>
            <w:tcW w:w="2453" w:type="pct"/>
            <w:tcBorders>
              <w:top w:val="single" w:sz="6" w:space="0" w:color="auto"/>
              <w:left w:val="single" w:sz="6" w:space="0" w:color="auto"/>
              <w:bottom w:val="single" w:sz="6" w:space="0" w:color="auto"/>
              <w:right w:val="single" w:sz="6" w:space="0" w:color="auto"/>
            </w:tcBorders>
            <w:vAlign w:val="center"/>
            <w:hideMark/>
          </w:tcPr>
          <w:p w14:paraId="4F6BDC63"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b/>
                <w:sz w:val="18"/>
                <w:szCs w:val="20"/>
                <w:lang w:val="en-GB" w:eastAsia="en-GB"/>
              </w:rPr>
            </w:pPr>
            <w:r w:rsidRPr="00981948">
              <w:rPr>
                <w:rFonts w:eastAsia="Times New Roman"/>
                <w:b/>
                <w:sz w:val="18"/>
                <w:szCs w:val="20"/>
                <w:lang w:val="en-GB" w:eastAsia="en-GB"/>
              </w:rPr>
              <w:t>Description of uncertainty contribution</w:t>
            </w:r>
          </w:p>
        </w:tc>
        <w:tc>
          <w:tcPr>
            <w:tcW w:w="1663" w:type="pct"/>
            <w:gridSpan w:val="2"/>
            <w:tcBorders>
              <w:top w:val="single" w:sz="6" w:space="0" w:color="auto"/>
              <w:left w:val="single" w:sz="6" w:space="0" w:color="auto"/>
              <w:bottom w:val="single" w:sz="6" w:space="0" w:color="auto"/>
              <w:right w:val="single" w:sz="6" w:space="0" w:color="auto"/>
            </w:tcBorders>
            <w:hideMark/>
          </w:tcPr>
          <w:p w14:paraId="77F294E8"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b/>
                <w:sz w:val="18"/>
                <w:szCs w:val="20"/>
                <w:lang w:val="en-GB" w:eastAsia="en-GB"/>
              </w:rPr>
            </w:pPr>
            <w:r w:rsidRPr="00981948">
              <w:rPr>
                <w:rFonts w:eastAsia="Times New Roman"/>
                <w:b/>
                <w:sz w:val="18"/>
                <w:szCs w:val="20"/>
                <w:lang w:val="en-GB" w:eastAsia="en-GB"/>
              </w:rPr>
              <w:t>Details in annex</w:t>
            </w:r>
          </w:p>
        </w:tc>
      </w:tr>
      <w:tr w:rsidR="00981948" w:rsidRPr="00981948" w14:paraId="1B0623B7" w14:textId="77777777" w:rsidTr="00981948">
        <w:trPr>
          <w:cantSplit/>
          <w:tblHeader/>
          <w:jc w:val="center"/>
        </w:trPr>
        <w:tc>
          <w:tcPr>
            <w:tcW w:w="5000" w:type="pct"/>
            <w:gridSpan w:val="4"/>
            <w:tcBorders>
              <w:top w:val="single" w:sz="6" w:space="0" w:color="auto"/>
              <w:left w:val="single" w:sz="6" w:space="0" w:color="auto"/>
              <w:bottom w:val="single" w:sz="6" w:space="0" w:color="auto"/>
              <w:right w:val="single" w:sz="6" w:space="0" w:color="auto"/>
            </w:tcBorders>
            <w:hideMark/>
          </w:tcPr>
          <w:p w14:paraId="43BBE9D3"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b/>
                <w:sz w:val="18"/>
                <w:szCs w:val="20"/>
                <w:lang w:val="en-GB" w:eastAsia="en-GB"/>
              </w:rPr>
            </w:pPr>
            <w:r w:rsidRPr="00981948">
              <w:rPr>
                <w:rFonts w:eastAsia="Times New Roman"/>
                <w:b/>
                <w:sz w:val="18"/>
                <w:szCs w:val="20"/>
                <w:lang w:val="en-GB" w:eastAsia="en-GB"/>
              </w:rPr>
              <w:t>Stage 2: DUT measurement</w:t>
            </w:r>
          </w:p>
        </w:tc>
      </w:tr>
      <w:tr w:rsidR="00981948" w:rsidRPr="00981948" w14:paraId="0B15E832"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5594D1B6" w14:textId="77777777" w:rsidR="00981948" w:rsidRPr="002C64D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2C64D8">
              <w:rPr>
                <w:rFonts w:eastAsia="Times New Roman"/>
                <w:sz w:val="18"/>
                <w:szCs w:val="20"/>
                <w:lang w:val="en-GB" w:eastAsia="en-GB"/>
              </w:rPr>
              <w:t>1</w:t>
            </w:r>
          </w:p>
        </w:tc>
        <w:tc>
          <w:tcPr>
            <w:tcW w:w="2453" w:type="pct"/>
            <w:tcBorders>
              <w:top w:val="single" w:sz="6" w:space="0" w:color="auto"/>
              <w:left w:val="single" w:sz="6" w:space="0" w:color="auto"/>
              <w:bottom w:val="single" w:sz="6" w:space="0" w:color="auto"/>
              <w:right w:val="single" w:sz="6" w:space="0" w:color="auto"/>
            </w:tcBorders>
            <w:vAlign w:val="center"/>
            <w:hideMark/>
          </w:tcPr>
          <w:p w14:paraId="493E0FBA" w14:textId="77777777" w:rsidR="00981948" w:rsidRPr="002C64D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2C64D8">
              <w:rPr>
                <w:rFonts w:eastAsia="Times New Roman"/>
                <w:sz w:val="18"/>
                <w:szCs w:val="20"/>
                <w:lang w:val="en-GB" w:eastAsia="ja-JP"/>
              </w:rPr>
              <w:t>Positioning misalignment</w:t>
            </w:r>
          </w:p>
        </w:tc>
        <w:tc>
          <w:tcPr>
            <w:tcW w:w="1663" w:type="pct"/>
            <w:gridSpan w:val="2"/>
            <w:tcBorders>
              <w:top w:val="single" w:sz="6" w:space="0" w:color="auto"/>
              <w:left w:val="single" w:sz="6" w:space="0" w:color="auto"/>
              <w:bottom w:val="single" w:sz="6" w:space="0" w:color="auto"/>
              <w:right w:val="single" w:sz="6" w:space="0" w:color="auto"/>
            </w:tcBorders>
            <w:hideMark/>
          </w:tcPr>
          <w:p w14:paraId="6CEE3FE3" w14:textId="77777777" w:rsidR="00981948" w:rsidRPr="002C64D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2C64D8">
              <w:rPr>
                <w:rFonts w:eastAsia="Times New Roman"/>
                <w:sz w:val="18"/>
                <w:szCs w:val="20"/>
                <w:lang w:val="en-GB" w:eastAsia="en-GB"/>
              </w:rPr>
              <w:t>B.2.2.1</w:t>
            </w:r>
          </w:p>
        </w:tc>
      </w:tr>
      <w:tr w:rsidR="00981948" w:rsidRPr="00981948" w14:paraId="054AC24C"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2797C09" w14:textId="77777777" w:rsidR="00981948" w:rsidRPr="002C64D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2C64D8">
              <w:rPr>
                <w:rFonts w:eastAsia="Times New Roman"/>
                <w:sz w:val="18"/>
                <w:szCs w:val="20"/>
                <w:lang w:val="en-GB" w:eastAsia="en-GB"/>
              </w:rPr>
              <w:t>2</w:t>
            </w:r>
          </w:p>
        </w:tc>
        <w:tc>
          <w:tcPr>
            <w:tcW w:w="2453" w:type="pct"/>
            <w:tcBorders>
              <w:top w:val="single" w:sz="6" w:space="0" w:color="auto"/>
              <w:left w:val="single" w:sz="6" w:space="0" w:color="auto"/>
              <w:bottom w:val="single" w:sz="6" w:space="0" w:color="auto"/>
              <w:right w:val="single" w:sz="6" w:space="0" w:color="auto"/>
            </w:tcBorders>
            <w:vAlign w:val="center"/>
            <w:hideMark/>
          </w:tcPr>
          <w:p w14:paraId="6998561C" w14:textId="77777777" w:rsidR="00981948" w:rsidRPr="002C64D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2C64D8">
              <w:rPr>
                <w:rFonts w:eastAsia="Times New Roman"/>
                <w:sz w:val="18"/>
                <w:szCs w:val="20"/>
                <w:lang w:val="en-GB" w:eastAsia="ja-JP"/>
              </w:rPr>
              <w:t>Measure distance uncertainty</w:t>
            </w:r>
          </w:p>
        </w:tc>
        <w:tc>
          <w:tcPr>
            <w:tcW w:w="1663" w:type="pct"/>
            <w:gridSpan w:val="2"/>
            <w:tcBorders>
              <w:top w:val="single" w:sz="6" w:space="0" w:color="auto"/>
              <w:left w:val="single" w:sz="6" w:space="0" w:color="auto"/>
              <w:bottom w:val="single" w:sz="6" w:space="0" w:color="auto"/>
              <w:right w:val="single" w:sz="6" w:space="0" w:color="auto"/>
            </w:tcBorders>
            <w:hideMark/>
          </w:tcPr>
          <w:p w14:paraId="142C5F25" w14:textId="77777777" w:rsidR="00981948" w:rsidRPr="002C64D8" w:rsidRDefault="00981948" w:rsidP="00981948">
            <w:pPr>
              <w:keepNext/>
              <w:keepLines/>
              <w:overflowPunct w:val="0"/>
              <w:autoSpaceDE w:val="0"/>
              <w:autoSpaceDN w:val="0"/>
              <w:adjustRightInd w:val="0"/>
              <w:spacing w:after="0" w:line="240" w:lineRule="auto"/>
              <w:jc w:val="center"/>
              <w:rPr>
                <w:rFonts w:eastAsia="Times New Roman"/>
                <w:sz w:val="18"/>
                <w:szCs w:val="20"/>
                <w:lang w:val="en-GB"/>
              </w:rPr>
            </w:pPr>
            <w:r w:rsidRPr="002C64D8">
              <w:rPr>
                <w:rFonts w:eastAsia="Times New Roman"/>
                <w:sz w:val="18"/>
                <w:szCs w:val="20"/>
                <w:lang w:val="en-GB" w:eastAsia="en-GB"/>
              </w:rPr>
              <w:t>B.2.2.2</w:t>
            </w:r>
          </w:p>
        </w:tc>
      </w:tr>
      <w:tr w:rsidR="00981948" w:rsidRPr="00981948" w14:paraId="62666166"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200C8566"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3</w:t>
            </w:r>
          </w:p>
        </w:tc>
        <w:tc>
          <w:tcPr>
            <w:tcW w:w="2453" w:type="pct"/>
            <w:tcBorders>
              <w:top w:val="single" w:sz="6" w:space="0" w:color="auto"/>
              <w:left w:val="single" w:sz="6" w:space="0" w:color="auto"/>
              <w:bottom w:val="single" w:sz="6" w:space="0" w:color="auto"/>
              <w:right w:val="single" w:sz="6" w:space="0" w:color="auto"/>
            </w:tcBorders>
            <w:vAlign w:val="center"/>
            <w:hideMark/>
          </w:tcPr>
          <w:p w14:paraId="1B665ED7"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Quality of Quiet Zone</w:t>
            </w:r>
          </w:p>
        </w:tc>
        <w:tc>
          <w:tcPr>
            <w:tcW w:w="1663" w:type="pct"/>
            <w:gridSpan w:val="2"/>
            <w:tcBorders>
              <w:top w:val="single" w:sz="6" w:space="0" w:color="auto"/>
              <w:left w:val="single" w:sz="6" w:space="0" w:color="auto"/>
              <w:bottom w:val="single" w:sz="6" w:space="0" w:color="auto"/>
              <w:right w:val="single" w:sz="6" w:space="0" w:color="auto"/>
            </w:tcBorders>
            <w:hideMark/>
          </w:tcPr>
          <w:p w14:paraId="41512E34"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B.2.2.3</w:t>
            </w:r>
          </w:p>
        </w:tc>
      </w:tr>
      <w:tr w:rsidR="00981948" w:rsidRPr="00981948" w14:paraId="2F307E35"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0CB35E19"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4</w:t>
            </w:r>
          </w:p>
        </w:tc>
        <w:tc>
          <w:tcPr>
            <w:tcW w:w="2453" w:type="pct"/>
            <w:tcBorders>
              <w:top w:val="single" w:sz="6" w:space="0" w:color="auto"/>
              <w:left w:val="single" w:sz="6" w:space="0" w:color="auto"/>
              <w:bottom w:val="single" w:sz="6" w:space="0" w:color="auto"/>
              <w:right w:val="single" w:sz="6" w:space="0" w:color="auto"/>
            </w:tcBorders>
            <w:vAlign w:val="center"/>
            <w:hideMark/>
          </w:tcPr>
          <w:p w14:paraId="582DA8F7"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Mismatch</w:t>
            </w:r>
          </w:p>
        </w:tc>
        <w:tc>
          <w:tcPr>
            <w:tcW w:w="1663" w:type="pct"/>
            <w:gridSpan w:val="2"/>
            <w:tcBorders>
              <w:top w:val="single" w:sz="6" w:space="0" w:color="auto"/>
              <w:left w:val="single" w:sz="6" w:space="0" w:color="auto"/>
              <w:bottom w:val="single" w:sz="6" w:space="0" w:color="auto"/>
              <w:right w:val="single" w:sz="6" w:space="0" w:color="auto"/>
            </w:tcBorders>
            <w:hideMark/>
          </w:tcPr>
          <w:p w14:paraId="6AB7FB4C"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en-GB"/>
              </w:rPr>
              <w:t>B.2.2.4</w:t>
            </w:r>
          </w:p>
        </w:tc>
      </w:tr>
      <w:tr w:rsidR="00981948" w:rsidRPr="00981948" w14:paraId="554C3FC7"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72668ACC"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5</w:t>
            </w:r>
          </w:p>
        </w:tc>
        <w:tc>
          <w:tcPr>
            <w:tcW w:w="2453" w:type="pct"/>
            <w:tcBorders>
              <w:top w:val="single" w:sz="6" w:space="0" w:color="auto"/>
              <w:left w:val="single" w:sz="6" w:space="0" w:color="auto"/>
              <w:bottom w:val="single" w:sz="6" w:space="0" w:color="auto"/>
              <w:right w:val="single" w:sz="6" w:space="0" w:color="auto"/>
            </w:tcBorders>
            <w:vAlign w:val="center"/>
            <w:hideMark/>
          </w:tcPr>
          <w:p w14:paraId="62E7A241"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Standing wave between the DUT and measurement antenna</w:t>
            </w:r>
          </w:p>
        </w:tc>
        <w:tc>
          <w:tcPr>
            <w:tcW w:w="1663" w:type="pct"/>
            <w:gridSpan w:val="2"/>
            <w:tcBorders>
              <w:top w:val="single" w:sz="6" w:space="0" w:color="auto"/>
              <w:left w:val="single" w:sz="6" w:space="0" w:color="auto"/>
              <w:bottom w:val="single" w:sz="6" w:space="0" w:color="auto"/>
              <w:right w:val="single" w:sz="6" w:space="0" w:color="auto"/>
            </w:tcBorders>
            <w:hideMark/>
          </w:tcPr>
          <w:p w14:paraId="6B48720D"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B.2.2.5</w:t>
            </w:r>
          </w:p>
        </w:tc>
      </w:tr>
      <w:tr w:rsidR="00981948" w:rsidRPr="00981948" w14:paraId="3D60E50E"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937943A"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6</w:t>
            </w:r>
          </w:p>
        </w:tc>
        <w:tc>
          <w:tcPr>
            <w:tcW w:w="2453" w:type="pct"/>
            <w:tcBorders>
              <w:top w:val="single" w:sz="6" w:space="0" w:color="auto"/>
              <w:left w:val="single" w:sz="6" w:space="0" w:color="auto"/>
              <w:bottom w:val="single" w:sz="6" w:space="0" w:color="auto"/>
              <w:right w:val="single" w:sz="6" w:space="0" w:color="auto"/>
            </w:tcBorders>
            <w:vAlign w:val="center"/>
            <w:hideMark/>
          </w:tcPr>
          <w:p w14:paraId="143E543B"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gNB emulator uncertainty</w:t>
            </w:r>
          </w:p>
        </w:tc>
        <w:tc>
          <w:tcPr>
            <w:tcW w:w="1663" w:type="pct"/>
            <w:gridSpan w:val="2"/>
            <w:tcBorders>
              <w:top w:val="single" w:sz="6" w:space="0" w:color="auto"/>
              <w:left w:val="single" w:sz="6" w:space="0" w:color="auto"/>
              <w:bottom w:val="single" w:sz="6" w:space="0" w:color="auto"/>
              <w:right w:val="single" w:sz="6" w:space="0" w:color="auto"/>
            </w:tcBorders>
            <w:hideMark/>
          </w:tcPr>
          <w:p w14:paraId="36322923"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en-GB"/>
              </w:rPr>
              <w:t>B.2.2.17</w:t>
            </w:r>
          </w:p>
        </w:tc>
      </w:tr>
      <w:tr w:rsidR="00981948" w:rsidRPr="00981948" w14:paraId="13D457F8"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49400C8C"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7</w:t>
            </w:r>
          </w:p>
        </w:tc>
        <w:tc>
          <w:tcPr>
            <w:tcW w:w="2453" w:type="pct"/>
            <w:tcBorders>
              <w:top w:val="single" w:sz="6" w:space="0" w:color="auto"/>
              <w:left w:val="single" w:sz="6" w:space="0" w:color="auto"/>
              <w:bottom w:val="single" w:sz="6" w:space="0" w:color="auto"/>
              <w:right w:val="single" w:sz="6" w:space="0" w:color="auto"/>
            </w:tcBorders>
            <w:vAlign w:val="center"/>
            <w:hideMark/>
          </w:tcPr>
          <w:p w14:paraId="392E351F"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Phase curvature</w:t>
            </w:r>
          </w:p>
        </w:tc>
        <w:tc>
          <w:tcPr>
            <w:tcW w:w="1663" w:type="pct"/>
            <w:gridSpan w:val="2"/>
            <w:tcBorders>
              <w:top w:val="single" w:sz="6" w:space="0" w:color="auto"/>
              <w:left w:val="single" w:sz="6" w:space="0" w:color="auto"/>
              <w:bottom w:val="single" w:sz="6" w:space="0" w:color="auto"/>
              <w:right w:val="single" w:sz="6" w:space="0" w:color="auto"/>
            </w:tcBorders>
            <w:hideMark/>
          </w:tcPr>
          <w:p w14:paraId="3CB8AD12"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en-GB"/>
              </w:rPr>
              <w:t>B.2.2.7</w:t>
            </w:r>
          </w:p>
        </w:tc>
      </w:tr>
      <w:tr w:rsidR="00981948" w:rsidRPr="00981948" w14:paraId="17AE82D7"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543F830F"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8</w:t>
            </w:r>
          </w:p>
        </w:tc>
        <w:tc>
          <w:tcPr>
            <w:tcW w:w="2453" w:type="pct"/>
            <w:tcBorders>
              <w:top w:val="single" w:sz="6" w:space="0" w:color="auto"/>
              <w:left w:val="single" w:sz="6" w:space="0" w:color="auto"/>
              <w:bottom w:val="single" w:sz="6" w:space="0" w:color="auto"/>
              <w:right w:val="single" w:sz="6" w:space="0" w:color="auto"/>
            </w:tcBorders>
            <w:vAlign w:val="center"/>
            <w:hideMark/>
          </w:tcPr>
          <w:p w14:paraId="2393B89B"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Amplifier uncertainties</w:t>
            </w:r>
          </w:p>
        </w:tc>
        <w:tc>
          <w:tcPr>
            <w:tcW w:w="1663" w:type="pct"/>
            <w:gridSpan w:val="2"/>
            <w:tcBorders>
              <w:top w:val="single" w:sz="6" w:space="0" w:color="auto"/>
              <w:left w:val="single" w:sz="6" w:space="0" w:color="auto"/>
              <w:bottom w:val="single" w:sz="6" w:space="0" w:color="auto"/>
              <w:right w:val="single" w:sz="6" w:space="0" w:color="auto"/>
            </w:tcBorders>
            <w:hideMark/>
          </w:tcPr>
          <w:p w14:paraId="751DEA32"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en-GB"/>
              </w:rPr>
              <w:t>B.2.2.8</w:t>
            </w:r>
          </w:p>
        </w:tc>
      </w:tr>
      <w:tr w:rsidR="00981948" w:rsidRPr="00981948" w14:paraId="10ECB09F"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1CDE438E"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rPr>
              <w:t>9</w:t>
            </w:r>
          </w:p>
        </w:tc>
        <w:tc>
          <w:tcPr>
            <w:tcW w:w="2453" w:type="pct"/>
            <w:tcBorders>
              <w:top w:val="single" w:sz="6" w:space="0" w:color="auto"/>
              <w:left w:val="single" w:sz="6" w:space="0" w:color="auto"/>
              <w:bottom w:val="single" w:sz="6" w:space="0" w:color="auto"/>
              <w:right w:val="single" w:sz="6" w:space="0" w:color="auto"/>
            </w:tcBorders>
            <w:vAlign w:val="center"/>
            <w:hideMark/>
          </w:tcPr>
          <w:p w14:paraId="15D26313"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Random uncertainty</w:t>
            </w:r>
          </w:p>
        </w:tc>
        <w:tc>
          <w:tcPr>
            <w:tcW w:w="1663" w:type="pct"/>
            <w:gridSpan w:val="2"/>
            <w:tcBorders>
              <w:top w:val="single" w:sz="6" w:space="0" w:color="auto"/>
              <w:left w:val="single" w:sz="6" w:space="0" w:color="auto"/>
              <w:bottom w:val="single" w:sz="6" w:space="0" w:color="auto"/>
              <w:right w:val="single" w:sz="6" w:space="0" w:color="auto"/>
            </w:tcBorders>
            <w:hideMark/>
          </w:tcPr>
          <w:p w14:paraId="432F8421"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en-GB"/>
              </w:rPr>
              <w:t>B.2.2.9</w:t>
            </w:r>
          </w:p>
        </w:tc>
      </w:tr>
      <w:tr w:rsidR="00981948" w:rsidRPr="00981948" w14:paraId="35C06EDF"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34073F0"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rPr>
            </w:pPr>
            <w:r w:rsidRPr="00981948">
              <w:rPr>
                <w:rFonts w:eastAsia="Times New Roman"/>
                <w:sz w:val="18"/>
                <w:szCs w:val="20"/>
                <w:lang w:val="en-GB"/>
              </w:rPr>
              <w:t>10</w:t>
            </w:r>
          </w:p>
        </w:tc>
        <w:tc>
          <w:tcPr>
            <w:tcW w:w="2453" w:type="pct"/>
            <w:tcBorders>
              <w:top w:val="single" w:sz="6" w:space="0" w:color="auto"/>
              <w:left w:val="single" w:sz="6" w:space="0" w:color="auto"/>
              <w:bottom w:val="single" w:sz="6" w:space="0" w:color="auto"/>
              <w:right w:val="single" w:sz="6" w:space="0" w:color="auto"/>
            </w:tcBorders>
            <w:vAlign w:val="center"/>
            <w:hideMark/>
          </w:tcPr>
          <w:p w14:paraId="3AACB686"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Influence of the XPD</w:t>
            </w:r>
          </w:p>
        </w:tc>
        <w:tc>
          <w:tcPr>
            <w:tcW w:w="1663" w:type="pct"/>
            <w:gridSpan w:val="2"/>
            <w:tcBorders>
              <w:top w:val="single" w:sz="6" w:space="0" w:color="auto"/>
              <w:left w:val="single" w:sz="6" w:space="0" w:color="auto"/>
              <w:bottom w:val="single" w:sz="6" w:space="0" w:color="auto"/>
              <w:right w:val="single" w:sz="6" w:space="0" w:color="auto"/>
            </w:tcBorders>
            <w:hideMark/>
          </w:tcPr>
          <w:p w14:paraId="0EE30195"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en-GB"/>
              </w:rPr>
              <w:t>B.2.2.10</w:t>
            </w:r>
          </w:p>
        </w:tc>
      </w:tr>
      <w:tr w:rsidR="00981948" w:rsidRPr="00981948" w14:paraId="5FD40FCB"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326A2E44"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rPr>
            </w:pPr>
            <w:r w:rsidRPr="00981948">
              <w:rPr>
                <w:rFonts w:eastAsia="Times New Roman"/>
                <w:sz w:val="18"/>
                <w:szCs w:val="20"/>
                <w:lang w:val="en-GB"/>
              </w:rPr>
              <w:t>11</w:t>
            </w:r>
          </w:p>
        </w:tc>
        <w:tc>
          <w:tcPr>
            <w:tcW w:w="2453" w:type="pct"/>
            <w:tcBorders>
              <w:top w:val="single" w:sz="6" w:space="0" w:color="auto"/>
              <w:left w:val="single" w:sz="6" w:space="0" w:color="auto"/>
              <w:bottom w:val="single" w:sz="6" w:space="0" w:color="auto"/>
              <w:right w:val="single" w:sz="6" w:space="0" w:color="auto"/>
            </w:tcBorders>
            <w:vAlign w:val="center"/>
            <w:hideMark/>
          </w:tcPr>
          <w:p w14:paraId="2E7DA498"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Insertion Loss Variation</w:t>
            </w:r>
          </w:p>
        </w:tc>
        <w:tc>
          <w:tcPr>
            <w:tcW w:w="1663" w:type="pct"/>
            <w:gridSpan w:val="2"/>
            <w:tcBorders>
              <w:top w:val="single" w:sz="6" w:space="0" w:color="auto"/>
              <w:left w:val="single" w:sz="6" w:space="0" w:color="auto"/>
              <w:bottom w:val="single" w:sz="6" w:space="0" w:color="auto"/>
              <w:right w:val="single" w:sz="6" w:space="0" w:color="auto"/>
            </w:tcBorders>
            <w:hideMark/>
          </w:tcPr>
          <w:p w14:paraId="25203669"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B.2.2.11</w:t>
            </w:r>
          </w:p>
        </w:tc>
      </w:tr>
      <w:tr w:rsidR="00981948" w:rsidRPr="00981948" w14:paraId="5986CC35"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56EBAAE"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rPr>
            </w:pPr>
            <w:r w:rsidRPr="00981948">
              <w:rPr>
                <w:rFonts w:eastAsia="Times New Roman"/>
                <w:sz w:val="18"/>
                <w:szCs w:val="20"/>
                <w:lang w:val="en-GB"/>
              </w:rPr>
              <w:t>12</w:t>
            </w:r>
          </w:p>
        </w:tc>
        <w:tc>
          <w:tcPr>
            <w:tcW w:w="2453" w:type="pct"/>
            <w:tcBorders>
              <w:top w:val="single" w:sz="6" w:space="0" w:color="auto"/>
              <w:left w:val="single" w:sz="6" w:space="0" w:color="auto"/>
              <w:bottom w:val="single" w:sz="6" w:space="0" w:color="auto"/>
              <w:right w:val="single" w:sz="6" w:space="0" w:color="auto"/>
            </w:tcBorders>
            <w:vAlign w:val="center"/>
            <w:hideMark/>
          </w:tcPr>
          <w:p w14:paraId="63FCA08B"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RF leakage (from measurement antenna to the receiver/transmitter)</w:t>
            </w:r>
          </w:p>
        </w:tc>
        <w:tc>
          <w:tcPr>
            <w:tcW w:w="1663" w:type="pct"/>
            <w:gridSpan w:val="2"/>
            <w:tcBorders>
              <w:top w:val="single" w:sz="6" w:space="0" w:color="auto"/>
              <w:left w:val="single" w:sz="6" w:space="0" w:color="auto"/>
              <w:bottom w:val="single" w:sz="6" w:space="0" w:color="auto"/>
              <w:right w:val="single" w:sz="6" w:space="0" w:color="auto"/>
            </w:tcBorders>
            <w:hideMark/>
          </w:tcPr>
          <w:p w14:paraId="6DA7CD95"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B.2.2.12</w:t>
            </w:r>
          </w:p>
        </w:tc>
      </w:tr>
      <w:tr w:rsidR="00981948" w:rsidRPr="00981948" w14:paraId="5DB2858E"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2354E97E"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rPr>
            </w:pPr>
            <w:r w:rsidRPr="00981948">
              <w:rPr>
                <w:rFonts w:eastAsia="Times New Roman"/>
                <w:sz w:val="18"/>
                <w:szCs w:val="20"/>
                <w:lang w:val="en-GB"/>
              </w:rPr>
              <w:t>13</w:t>
            </w:r>
          </w:p>
        </w:tc>
        <w:tc>
          <w:tcPr>
            <w:tcW w:w="2453" w:type="pct"/>
            <w:tcBorders>
              <w:top w:val="single" w:sz="6" w:space="0" w:color="auto"/>
              <w:left w:val="single" w:sz="6" w:space="0" w:color="auto"/>
              <w:bottom w:val="single" w:sz="6" w:space="0" w:color="auto"/>
              <w:right w:val="single" w:sz="6" w:space="0" w:color="auto"/>
            </w:tcBorders>
            <w:vAlign w:val="center"/>
            <w:hideMark/>
          </w:tcPr>
          <w:p w14:paraId="0B8E5141"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Multiple measurement antenna uncertainty</w:t>
            </w:r>
          </w:p>
        </w:tc>
        <w:tc>
          <w:tcPr>
            <w:tcW w:w="1663" w:type="pct"/>
            <w:gridSpan w:val="2"/>
            <w:tcBorders>
              <w:top w:val="single" w:sz="6" w:space="0" w:color="auto"/>
              <w:left w:val="single" w:sz="6" w:space="0" w:color="auto"/>
              <w:bottom w:val="single" w:sz="6" w:space="0" w:color="auto"/>
              <w:right w:val="single" w:sz="6" w:space="0" w:color="auto"/>
            </w:tcBorders>
            <w:hideMark/>
          </w:tcPr>
          <w:p w14:paraId="6DCFF337"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B.2.2.25</w:t>
            </w:r>
          </w:p>
        </w:tc>
      </w:tr>
      <w:tr w:rsidR="00981948" w:rsidRPr="00981948" w14:paraId="392D27EA"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24BA8D1A"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rPr>
            </w:pPr>
            <w:r w:rsidRPr="00981948">
              <w:rPr>
                <w:rFonts w:eastAsia="Times New Roman"/>
                <w:sz w:val="18"/>
                <w:szCs w:val="20"/>
                <w:lang w:val="en-GB" w:eastAsia="ja-JP"/>
              </w:rPr>
              <w:t>14</w:t>
            </w:r>
          </w:p>
        </w:tc>
        <w:tc>
          <w:tcPr>
            <w:tcW w:w="2453" w:type="pct"/>
            <w:tcBorders>
              <w:top w:val="single" w:sz="6" w:space="0" w:color="auto"/>
              <w:left w:val="single" w:sz="6" w:space="0" w:color="auto"/>
              <w:bottom w:val="single" w:sz="6" w:space="0" w:color="auto"/>
              <w:right w:val="single" w:sz="6" w:space="0" w:color="auto"/>
            </w:tcBorders>
            <w:vAlign w:val="center"/>
            <w:hideMark/>
          </w:tcPr>
          <w:p w14:paraId="23C3E33B"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DUT repositioning</w:t>
            </w:r>
          </w:p>
        </w:tc>
        <w:tc>
          <w:tcPr>
            <w:tcW w:w="1663" w:type="pct"/>
            <w:gridSpan w:val="2"/>
            <w:tcBorders>
              <w:top w:val="single" w:sz="6" w:space="0" w:color="auto"/>
              <w:left w:val="single" w:sz="6" w:space="0" w:color="auto"/>
              <w:bottom w:val="single" w:sz="6" w:space="0" w:color="auto"/>
              <w:right w:val="single" w:sz="6" w:space="0" w:color="auto"/>
            </w:tcBorders>
            <w:hideMark/>
          </w:tcPr>
          <w:p w14:paraId="2CF11E89"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ja-JP"/>
              </w:rPr>
              <w:t>B.2.2.26</w:t>
            </w:r>
          </w:p>
        </w:tc>
      </w:tr>
      <w:tr w:rsidR="00981948" w:rsidRPr="00981948" w14:paraId="73D7AC0B"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1461140D"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15</w:t>
            </w:r>
          </w:p>
        </w:tc>
        <w:tc>
          <w:tcPr>
            <w:tcW w:w="2458" w:type="pct"/>
            <w:gridSpan w:val="2"/>
            <w:tcBorders>
              <w:top w:val="single" w:sz="6" w:space="0" w:color="auto"/>
              <w:left w:val="single" w:sz="6" w:space="0" w:color="auto"/>
              <w:bottom w:val="single" w:sz="6" w:space="0" w:color="auto"/>
              <w:right w:val="single" w:sz="6" w:space="0" w:color="auto"/>
            </w:tcBorders>
            <w:vAlign w:val="center"/>
            <w:hideMark/>
          </w:tcPr>
          <w:p w14:paraId="6B4AFA9B"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Influence of spherical coverage grid</w:t>
            </w:r>
          </w:p>
        </w:tc>
        <w:tc>
          <w:tcPr>
            <w:tcW w:w="1658" w:type="pct"/>
            <w:tcBorders>
              <w:top w:val="single" w:sz="6" w:space="0" w:color="auto"/>
              <w:left w:val="single" w:sz="6" w:space="0" w:color="auto"/>
              <w:bottom w:val="single" w:sz="6" w:space="0" w:color="auto"/>
              <w:right w:val="single" w:sz="6" w:space="0" w:color="auto"/>
            </w:tcBorders>
            <w:hideMark/>
          </w:tcPr>
          <w:p w14:paraId="367CFBE1"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ja-JP"/>
              </w:rPr>
            </w:pPr>
            <w:r w:rsidRPr="00981948">
              <w:rPr>
                <w:rFonts w:eastAsia="Times New Roman"/>
                <w:sz w:val="18"/>
                <w:szCs w:val="20"/>
                <w:lang w:val="en-GB" w:eastAsia="ja-JP"/>
              </w:rPr>
              <w:t>B.2.2.29</w:t>
            </w:r>
          </w:p>
        </w:tc>
      </w:tr>
      <w:tr w:rsidR="00981948" w:rsidRPr="00981948" w14:paraId="1E76AF0A" w14:textId="77777777" w:rsidTr="00981948">
        <w:trPr>
          <w:cantSplit/>
          <w:tblHeader/>
          <w:jc w:val="center"/>
        </w:trPr>
        <w:tc>
          <w:tcPr>
            <w:tcW w:w="5000" w:type="pct"/>
            <w:gridSpan w:val="4"/>
            <w:tcBorders>
              <w:top w:val="single" w:sz="6" w:space="0" w:color="auto"/>
              <w:left w:val="single" w:sz="6" w:space="0" w:color="auto"/>
              <w:bottom w:val="single" w:sz="6" w:space="0" w:color="auto"/>
              <w:right w:val="single" w:sz="6" w:space="0" w:color="auto"/>
            </w:tcBorders>
            <w:hideMark/>
          </w:tcPr>
          <w:p w14:paraId="33F022E0"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b/>
                <w:sz w:val="18"/>
                <w:szCs w:val="20"/>
                <w:lang w:val="en-GB" w:eastAsia="en-GB"/>
              </w:rPr>
            </w:pPr>
            <w:r w:rsidRPr="00981948">
              <w:rPr>
                <w:rFonts w:eastAsia="Times New Roman"/>
                <w:b/>
                <w:sz w:val="18"/>
                <w:szCs w:val="20"/>
                <w:lang w:val="en-GB" w:eastAsia="en-GB"/>
              </w:rPr>
              <w:t>Stage 1: Calibration measurement</w:t>
            </w:r>
          </w:p>
        </w:tc>
      </w:tr>
      <w:tr w:rsidR="00981948" w:rsidRPr="00981948" w14:paraId="090B6C62"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4A25C6EF"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16</w:t>
            </w:r>
          </w:p>
        </w:tc>
        <w:tc>
          <w:tcPr>
            <w:tcW w:w="2453" w:type="pct"/>
            <w:tcBorders>
              <w:top w:val="single" w:sz="6" w:space="0" w:color="auto"/>
              <w:left w:val="single" w:sz="6" w:space="0" w:color="auto"/>
              <w:bottom w:val="single" w:sz="6" w:space="0" w:color="auto"/>
              <w:right w:val="single" w:sz="6" w:space="0" w:color="auto"/>
            </w:tcBorders>
            <w:vAlign w:val="center"/>
            <w:hideMark/>
          </w:tcPr>
          <w:p w14:paraId="264D906C"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rPr>
            </w:pPr>
            <w:r w:rsidRPr="00981948">
              <w:rPr>
                <w:rFonts w:eastAsia="Times New Roman"/>
                <w:sz w:val="18"/>
                <w:szCs w:val="20"/>
                <w:lang w:val="en-GB" w:eastAsia="en-GB"/>
              </w:rPr>
              <w:t>Mismatch</w:t>
            </w:r>
          </w:p>
        </w:tc>
        <w:tc>
          <w:tcPr>
            <w:tcW w:w="1663" w:type="pct"/>
            <w:gridSpan w:val="2"/>
            <w:tcBorders>
              <w:top w:val="single" w:sz="6" w:space="0" w:color="auto"/>
              <w:left w:val="single" w:sz="6" w:space="0" w:color="auto"/>
              <w:bottom w:val="single" w:sz="6" w:space="0" w:color="auto"/>
              <w:right w:val="single" w:sz="6" w:space="0" w:color="auto"/>
            </w:tcBorders>
            <w:hideMark/>
          </w:tcPr>
          <w:p w14:paraId="08AA51A9"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B.2.2.4</w:t>
            </w:r>
          </w:p>
        </w:tc>
      </w:tr>
      <w:tr w:rsidR="00981948" w:rsidRPr="00981948" w14:paraId="5AD87FDB"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1649909E"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17</w:t>
            </w:r>
          </w:p>
        </w:tc>
        <w:tc>
          <w:tcPr>
            <w:tcW w:w="2453" w:type="pct"/>
            <w:tcBorders>
              <w:top w:val="single" w:sz="6" w:space="0" w:color="auto"/>
              <w:left w:val="single" w:sz="6" w:space="0" w:color="auto"/>
              <w:bottom w:val="single" w:sz="6" w:space="0" w:color="auto"/>
              <w:right w:val="single" w:sz="6" w:space="0" w:color="auto"/>
            </w:tcBorders>
            <w:vAlign w:val="center"/>
            <w:hideMark/>
          </w:tcPr>
          <w:p w14:paraId="1F3DCCE6"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Amplifier Uncertainties</w:t>
            </w:r>
          </w:p>
        </w:tc>
        <w:tc>
          <w:tcPr>
            <w:tcW w:w="1663" w:type="pct"/>
            <w:gridSpan w:val="2"/>
            <w:tcBorders>
              <w:top w:val="single" w:sz="6" w:space="0" w:color="auto"/>
              <w:left w:val="single" w:sz="6" w:space="0" w:color="auto"/>
              <w:bottom w:val="single" w:sz="6" w:space="0" w:color="auto"/>
              <w:right w:val="single" w:sz="6" w:space="0" w:color="auto"/>
            </w:tcBorders>
            <w:hideMark/>
          </w:tcPr>
          <w:p w14:paraId="20EA62AE"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B.2.2.8</w:t>
            </w:r>
          </w:p>
        </w:tc>
      </w:tr>
      <w:tr w:rsidR="00981948" w:rsidRPr="00981948" w14:paraId="0D4007E4"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3EADDBCF"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18</w:t>
            </w:r>
          </w:p>
        </w:tc>
        <w:tc>
          <w:tcPr>
            <w:tcW w:w="2453" w:type="pct"/>
            <w:tcBorders>
              <w:top w:val="single" w:sz="6" w:space="0" w:color="auto"/>
              <w:left w:val="single" w:sz="6" w:space="0" w:color="auto"/>
              <w:bottom w:val="single" w:sz="6" w:space="0" w:color="auto"/>
              <w:right w:val="single" w:sz="6" w:space="0" w:color="auto"/>
            </w:tcBorders>
            <w:vAlign w:val="center"/>
            <w:hideMark/>
          </w:tcPr>
          <w:p w14:paraId="2ED67994"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Misalignment of positioning System</w:t>
            </w:r>
          </w:p>
        </w:tc>
        <w:tc>
          <w:tcPr>
            <w:tcW w:w="1663" w:type="pct"/>
            <w:gridSpan w:val="2"/>
            <w:tcBorders>
              <w:top w:val="single" w:sz="6" w:space="0" w:color="auto"/>
              <w:left w:val="single" w:sz="6" w:space="0" w:color="auto"/>
              <w:bottom w:val="single" w:sz="6" w:space="0" w:color="auto"/>
              <w:right w:val="single" w:sz="6" w:space="0" w:color="auto"/>
            </w:tcBorders>
            <w:hideMark/>
          </w:tcPr>
          <w:p w14:paraId="7502F363"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B.2.2.13</w:t>
            </w:r>
          </w:p>
        </w:tc>
      </w:tr>
      <w:tr w:rsidR="00981948" w:rsidRPr="00981948" w14:paraId="292B8EF4"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C7B7118"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19</w:t>
            </w:r>
          </w:p>
        </w:tc>
        <w:tc>
          <w:tcPr>
            <w:tcW w:w="2453" w:type="pct"/>
            <w:tcBorders>
              <w:top w:val="single" w:sz="6" w:space="0" w:color="auto"/>
              <w:left w:val="single" w:sz="6" w:space="0" w:color="auto"/>
              <w:bottom w:val="single" w:sz="6" w:space="0" w:color="auto"/>
              <w:right w:val="single" w:sz="6" w:space="0" w:color="auto"/>
            </w:tcBorders>
            <w:vAlign w:val="center"/>
            <w:hideMark/>
          </w:tcPr>
          <w:p w14:paraId="56AE998F"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 xml:space="preserve">Uncertainty of the Network </w:t>
            </w:r>
            <w:proofErr w:type="spellStart"/>
            <w:r w:rsidRPr="00981948">
              <w:rPr>
                <w:rFonts w:eastAsia="Times New Roman"/>
                <w:sz w:val="18"/>
                <w:szCs w:val="20"/>
                <w:lang w:val="en-GB" w:eastAsia="en-GB"/>
              </w:rPr>
              <w:t>Analyzer</w:t>
            </w:r>
            <w:proofErr w:type="spellEnd"/>
          </w:p>
        </w:tc>
        <w:tc>
          <w:tcPr>
            <w:tcW w:w="1663" w:type="pct"/>
            <w:gridSpan w:val="2"/>
            <w:tcBorders>
              <w:top w:val="single" w:sz="6" w:space="0" w:color="auto"/>
              <w:left w:val="single" w:sz="6" w:space="0" w:color="auto"/>
              <w:bottom w:val="single" w:sz="6" w:space="0" w:color="auto"/>
              <w:right w:val="single" w:sz="6" w:space="0" w:color="auto"/>
            </w:tcBorders>
            <w:hideMark/>
          </w:tcPr>
          <w:p w14:paraId="0345D5E6"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B.2.2.14</w:t>
            </w:r>
          </w:p>
        </w:tc>
      </w:tr>
      <w:tr w:rsidR="00981948" w:rsidRPr="00981948" w14:paraId="482AA50E"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0717FB8A"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20</w:t>
            </w:r>
          </w:p>
        </w:tc>
        <w:tc>
          <w:tcPr>
            <w:tcW w:w="2453" w:type="pct"/>
            <w:tcBorders>
              <w:top w:val="single" w:sz="6" w:space="0" w:color="auto"/>
              <w:left w:val="single" w:sz="6" w:space="0" w:color="auto"/>
              <w:bottom w:val="single" w:sz="6" w:space="0" w:color="auto"/>
              <w:right w:val="single" w:sz="6" w:space="0" w:color="auto"/>
            </w:tcBorders>
            <w:vAlign w:val="center"/>
            <w:hideMark/>
          </w:tcPr>
          <w:p w14:paraId="3E199FE5"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Uncertainty of the absolute gain of the calibration antenna</w:t>
            </w:r>
          </w:p>
        </w:tc>
        <w:tc>
          <w:tcPr>
            <w:tcW w:w="1663" w:type="pct"/>
            <w:gridSpan w:val="2"/>
            <w:tcBorders>
              <w:top w:val="single" w:sz="6" w:space="0" w:color="auto"/>
              <w:left w:val="single" w:sz="6" w:space="0" w:color="auto"/>
              <w:bottom w:val="single" w:sz="6" w:space="0" w:color="auto"/>
              <w:right w:val="single" w:sz="6" w:space="0" w:color="auto"/>
            </w:tcBorders>
            <w:hideMark/>
          </w:tcPr>
          <w:p w14:paraId="7817E7F5"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B.2.2.15</w:t>
            </w:r>
          </w:p>
        </w:tc>
      </w:tr>
      <w:tr w:rsidR="00981948" w:rsidRPr="00981948" w14:paraId="0AB25732"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270AD817"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21</w:t>
            </w:r>
          </w:p>
        </w:tc>
        <w:tc>
          <w:tcPr>
            <w:tcW w:w="2453" w:type="pct"/>
            <w:tcBorders>
              <w:top w:val="single" w:sz="6" w:space="0" w:color="auto"/>
              <w:left w:val="single" w:sz="6" w:space="0" w:color="auto"/>
              <w:bottom w:val="single" w:sz="6" w:space="0" w:color="auto"/>
              <w:right w:val="single" w:sz="6" w:space="0" w:color="auto"/>
            </w:tcBorders>
            <w:vAlign w:val="center"/>
            <w:hideMark/>
          </w:tcPr>
          <w:p w14:paraId="6610A133"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en-GB"/>
              </w:rPr>
              <w:t>Positioning and pointing misalignment between the reference antenna and the measurement antenna</w:t>
            </w:r>
          </w:p>
        </w:tc>
        <w:tc>
          <w:tcPr>
            <w:tcW w:w="1663" w:type="pct"/>
            <w:gridSpan w:val="2"/>
            <w:tcBorders>
              <w:top w:val="single" w:sz="6" w:space="0" w:color="auto"/>
              <w:left w:val="single" w:sz="6" w:space="0" w:color="auto"/>
              <w:bottom w:val="single" w:sz="6" w:space="0" w:color="auto"/>
              <w:right w:val="single" w:sz="6" w:space="0" w:color="auto"/>
            </w:tcBorders>
            <w:hideMark/>
          </w:tcPr>
          <w:p w14:paraId="2705203C"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B.2.2.16</w:t>
            </w:r>
          </w:p>
        </w:tc>
      </w:tr>
      <w:tr w:rsidR="00981948" w:rsidRPr="00981948" w14:paraId="01FE4913"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76C7D1E2"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22</w:t>
            </w:r>
          </w:p>
        </w:tc>
        <w:tc>
          <w:tcPr>
            <w:tcW w:w="2453" w:type="pct"/>
            <w:tcBorders>
              <w:top w:val="single" w:sz="6" w:space="0" w:color="auto"/>
              <w:left w:val="single" w:sz="6" w:space="0" w:color="auto"/>
              <w:bottom w:val="single" w:sz="6" w:space="0" w:color="auto"/>
              <w:right w:val="single" w:sz="6" w:space="0" w:color="auto"/>
            </w:tcBorders>
            <w:vAlign w:val="center"/>
            <w:hideMark/>
          </w:tcPr>
          <w:p w14:paraId="6ACBB832"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Phase centre offset of calibration antenna</w:t>
            </w:r>
          </w:p>
        </w:tc>
        <w:tc>
          <w:tcPr>
            <w:tcW w:w="1663" w:type="pct"/>
            <w:gridSpan w:val="2"/>
            <w:tcBorders>
              <w:top w:val="single" w:sz="6" w:space="0" w:color="auto"/>
              <w:left w:val="single" w:sz="6" w:space="0" w:color="auto"/>
              <w:bottom w:val="single" w:sz="6" w:space="0" w:color="auto"/>
              <w:right w:val="single" w:sz="6" w:space="0" w:color="auto"/>
            </w:tcBorders>
            <w:hideMark/>
          </w:tcPr>
          <w:p w14:paraId="246641FD"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B.2.2.18</w:t>
            </w:r>
          </w:p>
        </w:tc>
      </w:tr>
      <w:tr w:rsidR="00981948" w:rsidRPr="00981948" w14:paraId="66D72B24"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1346204B"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23</w:t>
            </w:r>
          </w:p>
        </w:tc>
        <w:tc>
          <w:tcPr>
            <w:tcW w:w="2453" w:type="pct"/>
            <w:tcBorders>
              <w:top w:val="single" w:sz="6" w:space="0" w:color="auto"/>
              <w:left w:val="single" w:sz="6" w:space="0" w:color="auto"/>
              <w:bottom w:val="single" w:sz="6" w:space="0" w:color="auto"/>
              <w:right w:val="single" w:sz="6" w:space="0" w:color="auto"/>
            </w:tcBorders>
            <w:vAlign w:val="center"/>
            <w:hideMark/>
          </w:tcPr>
          <w:p w14:paraId="04518E2E"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Quality of quiet zone for calibration process</w:t>
            </w:r>
          </w:p>
        </w:tc>
        <w:tc>
          <w:tcPr>
            <w:tcW w:w="1663" w:type="pct"/>
            <w:gridSpan w:val="2"/>
            <w:tcBorders>
              <w:top w:val="single" w:sz="6" w:space="0" w:color="auto"/>
              <w:left w:val="single" w:sz="6" w:space="0" w:color="auto"/>
              <w:bottom w:val="single" w:sz="6" w:space="0" w:color="auto"/>
              <w:right w:val="single" w:sz="6" w:space="0" w:color="auto"/>
            </w:tcBorders>
            <w:hideMark/>
          </w:tcPr>
          <w:p w14:paraId="47C83647"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B.2.2.19</w:t>
            </w:r>
          </w:p>
        </w:tc>
      </w:tr>
      <w:tr w:rsidR="00981948" w:rsidRPr="00981948" w14:paraId="735E3156"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79EECC0"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24</w:t>
            </w:r>
          </w:p>
        </w:tc>
        <w:tc>
          <w:tcPr>
            <w:tcW w:w="2453" w:type="pct"/>
            <w:tcBorders>
              <w:top w:val="single" w:sz="6" w:space="0" w:color="auto"/>
              <w:left w:val="single" w:sz="6" w:space="0" w:color="auto"/>
              <w:bottom w:val="single" w:sz="6" w:space="0" w:color="auto"/>
              <w:right w:val="single" w:sz="6" w:space="0" w:color="auto"/>
            </w:tcBorders>
            <w:vAlign w:val="center"/>
            <w:hideMark/>
          </w:tcPr>
          <w:p w14:paraId="56ED786F"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Standing wave between reference calibration antenna and measurement antenna</w:t>
            </w:r>
          </w:p>
        </w:tc>
        <w:tc>
          <w:tcPr>
            <w:tcW w:w="1663" w:type="pct"/>
            <w:gridSpan w:val="2"/>
            <w:tcBorders>
              <w:top w:val="single" w:sz="6" w:space="0" w:color="auto"/>
              <w:left w:val="single" w:sz="6" w:space="0" w:color="auto"/>
              <w:bottom w:val="single" w:sz="6" w:space="0" w:color="auto"/>
              <w:right w:val="single" w:sz="6" w:space="0" w:color="auto"/>
            </w:tcBorders>
            <w:hideMark/>
          </w:tcPr>
          <w:p w14:paraId="6F322FBC"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B.2.2.20</w:t>
            </w:r>
          </w:p>
        </w:tc>
      </w:tr>
      <w:tr w:rsidR="00981948" w:rsidRPr="00981948" w14:paraId="7BF58FB2"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7F979BC3"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25</w:t>
            </w:r>
          </w:p>
        </w:tc>
        <w:tc>
          <w:tcPr>
            <w:tcW w:w="2453" w:type="pct"/>
            <w:tcBorders>
              <w:top w:val="single" w:sz="6" w:space="0" w:color="auto"/>
              <w:left w:val="single" w:sz="6" w:space="0" w:color="auto"/>
              <w:bottom w:val="single" w:sz="6" w:space="0" w:color="auto"/>
              <w:right w:val="single" w:sz="6" w:space="0" w:color="auto"/>
            </w:tcBorders>
            <w:vAlign w:val="center"/>
            <w:hideMark/>
          </w:tcPr>
          <w:p w14:paraId="763F7ADA"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en-GB"/>
              </w:rPr>
              <w:t>Influence of the calibration antenna feed cable</w:t>
            </w:r>
          </w:p>
        </w:tc>
        <w:tc>
          <w:tcPr>
            <w:tcW w:w="1663" w:type="pct"/>
            <w:gridSpan w:val="2"/>
            <w:tcBorders>
              <w:top w:val="single" w:sz="6" w:space="0" w:color="auto"/>
              <w:left w:val="single" w:sz="6" w:space="0" w:color="auto"/>
              <w:bottom w:val="single" w:sz="6" w:space="0" w:color="auto"/>
              <w:right w:val="single" w:sz="6" w:space="0" w:color="auto"/>
            </w:tcBorders>
            <w:hideMark/>
          </w:tcPr>
          <w:p w14:paraId="7C58F680"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B.2.2.21</w:t>
            </w:r>
          </w:p>
        </w:tc>
      </w:tr>
      <w:tr w:rsidR="00981948" w:rsidRPr="00981948" w14:paraId="6A9CFA80"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1696A1F8"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26</w:t>
            </w:r>
          </w:p>
        </w:tc>
        <w:tc>
          <w:tcPr>
            <w:tcW w:w="2453" w:type="pct"/>
            <w:tcBorders>
              <w:top w:val="single" w:sz="6" w:space="0" w:color="auto"/>
              <w:left w:val="single" w:sz="6" w:space="0" w:color="auto"/>
              <w:bottom w:val="single" w:sz="6" w:space="0" w:color="auto"/>
              <w:right w:val="single" w:sz="6" w:space="0" w:color="auto"/>
            </w:tcBorders>
            <w:vAlign w:val="center"/>
            <w:hideMark/>
          </w:tcPr>
          <w:p w14:paraId="2BD055C7"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en-GB"/>
              </w:rPr>
            </w:pPr>
            <w:r w:rsidRPr="00981948">
              <w:rPr>
                <w:rFonts w:eastAsia="Times New Roman"/>
                <w:sz w:val="18"/>
                <w:szCs w:val="20"/>
                <w:lang w:val="en-GB" w:eastAsia="ja-JP"/>
              </w:rPr>
              <w:t>Insertion Loss Variation</w:t>
            </w:r>
          </w:p>
        </w:tc>
        <w:tc>
          <w:tcPr>
            <w:tcW w:w="1663" w:type="pct"/>
            <w:gridSpan w:val="2"/>
            <w:tcBorders>
              <w:top w:val="single" w:sz="6" w:space="0" w:color="auto"/>
              <w:left w:val="single" w:sz="6" w:space="0" w:color="auto"/>
              <w:bottom w:val="single" w:sz="6" w:space="0" w:color="auto"/>
              <w:right w:val="single" w:sz="6" w:space="0" w:color="auto"/>
            </w:tcBorders>
            <w:hideMark/>
          </w:tcPr>
          <w:p w14:paraId="72776CFC"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B.2.2.11</w:t>
            </w:r>
          </w:p>
        </w:tc>
      </w:tr>
      <w:tr w:rsidR="00981948" w:rsidRPr="00981948" w14:paraId="5CEC0626" w14:textId="77777777" w:rsidTr="00981948">
        <w:trPr>
          <w:cantSplit/>
          <w:tblHeader/>
          <w:jc w:val="center"/>
        </w:trPr>
        <w:tc>
          <w:tcPr>
            <w:tcW w:w="5000" w:type="pct"/>
            <w:gridSpan w:val="4"/>
            <w:tcBorders>
              <w:top w:val="single" w:sz="6" w:space="0" w:color="auto"/>
              <w:left w:val="single" w:sz="6" w:space="0" w:color="auto"/>
              <w:bottom w:val="single" w:sz="6" w:space="0" w:color="auto"/>
              <w:right w:val="single" w:sz="6" w:space="0" w:color="auto"/>
            </w:tcBorders>
            <w:hideMark/>
          </w:tcPr>
          <w:p w14:paraId="2343038D"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b/>
                <w:sz w:val="18"/>
                <w:szCs w:val="20"/>
                <w:lang w:val="en-GB" w:eastAsia="en-GB"/>
              </w:rPr>
            </w:pPr>
            <w:r w:rsidRPr="00981948">
              <w:rPr>
                <w:rFonts w:eastAsia="Times New Roman"/>
                <w:b/>
                <w:sz w:val="18"/>
                <w:szCs w:val="20"/>
                <w:lang w:val="en-GB" w:eastAsia="en-GB"/>
              </w:rPr>
              <w:t>Systematic uncertainties</w:t>
            </w:r>
          </w:p>
        </w:tc>
      </w:tr>
      <w:tr w:rsidR="00981948" w:rsidRPr="00981948" w14:paraId="246DBA18"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65B4B60C"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27</w:t>
            </w:r>
          </w:p>
        </w:tc>
        <w:tc>
          <w:tcPr>
            <w:tcW w:w="2458" w:type="pct"/>
            <w:gridSpan w:val="2"/>
            <w:tcBorders>
              <w:top w:val="single" w:sz="6" w:space="0" w:color="auto"/>
              <w:left w:val="single" w:sz="6" w:space="0" w:color="auto"/>
              <w:bottom w:val="single" w:sz="6" w:space="0" w:color="auto"/>
              <w:right w:val="single" w:sz="6" w:space="0" w:color="auto"/>
            </w:tcBorders>
            <w:vAlign w:val="center"/>
            <w:hideMark/>
          </w:tcPr>
          <w:p w14:paraId="60B8C6D2" w14:textId="77777777" w:rsidR="00981948" w:rsidRPr="00981948" w:rsidRDefault="00981948" w:rsidP="00981948">
            <w:pPr>
              <w:keepNext/>
              <w:keepLines/>
              <w:overflowPunct w:val="0"/>
              <w:autoSpaceDE w:val="0"/>
              <w:autoSpaceDN w:val="0"/>
              <w:adjustRightInd w:val="0"/>
              <w:spacing w:after="0" w:line="240" w:lineRule="auto"/>
              <w:rPr>
                <w:rFonts w:eastAsia="Times New Roman"/>
                <w:sz w:val="18"/>
                <w:szCs w:val="20"/>
                <w:lang w:val="en-GB" w:eastAsia="ja-JP"/>
              </w:rPr>
            </w:pPr>
            <w:r w:rsidRPr="00981948">
              <w:rPr>
                <w:rFonts w:eastAsia="Times New Roman"/>
                <w:sz w:val="18"/>
                <w:szCs w:val="20"/>
                <w:lang w:val="en-GB" w:eastAsia="ja-JP"/>
              </w:rPr>
              <w:t>Systematic error related to beam peak search</w:t>
            </w:r>
          </w:p>
        </w:tc>
        <w:tc>
          <w:tcPr>
            <w:tcW w:w="1658" w:type="pct"/>
            <w:tcBorders>
              <w:top w:val="single" w:sz="6" w:space="0" w:color="auto"/>
              <w:left w:val="single" w:sz="6" w:space="0" w:color="auto"/>
              <w:bottom w:val="single" w:sz="6" w:space="0" w:color="auto"/>
              <w:right w:val="single" w:sz="6" w:space="0" w:color="auto"/>
            </w:tcBorders>
            <w:hideMark/>
          </w:tcPr>
          <w:p w14:paraId="2BB045AD" w14:textId="77777777" w:rsidR="00981948" w:rsidRPr="00981948" w:rsidRDefault="00981948" w:rsidP="00981948">
            <w:pPr>
              <w:keepNext/>
              <w:keepLines/>
              <w:overflowPunct w:val="0"/>
              <w:autoSpaceDE w:val="0"/>
              <w:autoSpaceDN w:val="0"/>
              <w:adjustRightInd w:val="0"/>
              <w:spacing w:after="0" w:line="240" w:lineRule="auto"/>
              <w:jc w:val="center"/>
              <w:rPr>
                <w:rFonts w:eastAsia="Times New Roman"/>
                <w:sz w:val="18"/>
                <w:szCs w:val="20"/>
                <w:lang w:val="en-GB" w:eastAsia="en-GB"/>
              </w:rPr>
            </w:pPr>
            <w:r w:rsidRPr="00981948">
              <w:rPr>
                <w:rFonts w:eastAsia="Times New Roman"/>
                <w:sz w:val="18"/>
                <w:szCs w:val="20"/>
                <w:lang w:val="en-GB" w:eastAsia="en-GB"/>
              </w:rPr>
              <w:t>B.2.2.28</w:t>
            </w:r>
          </w:p>
        </w:tc>
      </w:tr>
      <w:tr w:rsidR="00981948" w:rsidRPr="00981948" w14:paraId="239CE6A2" w14:textId="77777777" w:rsidTr="00981948">
        <w:trPr>
          <w:cantSplit/>
          <w:tblHeader/>
          <w:jc w:val="center"/>
        </w:trPr>
        <w:tc>
          <w:tcPr>
            <w:tcW w:w="884" w:type="pct"/>
            <w:tcBorders>
              <w:top w:val="single" w:sz="6" w:space="0" w:color="auto"/>
              <w:left w:val="single" w:sz="6" w:space="0" w:color="auto"/>
              <w:bottom w:val="single" w:sz="6" w:space="0" w:color="auto"/>
              <w:right w:val="single" w:sz="6" w:space="0" w:color="auto"/>
            </w:tcBorders>
            <w:hideMark/>
          </w:tcPr>
          <w:p w14:paraId="2088DFB2" w14:textId="77777777" w:rsidR="00981948" w:rsidRPr="0079656C" w:rsidRDefault="00981948" w:rsidP="00981948">
            <w:pPr>
              <w:keepNext/>
              <w:keepLines/>
              <w:overflowPunct w:val="0"/>
              <w:autoSpaceDE w:val="0"/>
              <w:autoSpaceDN w:val="0"/>
              <w:adjustRightInd w:val="0"/>
              <w:spacing w:after="0" w:line="240" w:lineRule="auto"/>
              <w:rPr>
                <w:rFonts w:eastAsia="Times New Roman"/>
                <w:strike/>
                <w:sz w:val="18"/>
                <w:szCs w:val="20"/>
                <w:lang w:val="en-GB" w:eastAsia="ja-JP"/>
              </w:rPr>
            </w:pPr>
            <w:r w:rsidRPr="0079656C">
              <w:rPr>
                <w:rFonts w:eastAsia="Times New Roman"/>
                <w:strike/>
                <w:sz w:val="18"/>
                <w:szCs w:val="20"/>
                <w:lang w:val="en-GB" w:eastAsia="ja-JP"/>
              </w:rPr>
              <w:t>28</w:t>
            </w:r>
          </w:p>
        </w:tc>
        <w:tc>
          <w:tcPr>
            <w:tcW w:w="2458" w:type="pct"/>
            <w:gridSpan w:val="2"/>
            <w:tcBorders>
              <w:top w:val="single" w:sz="6" w:space="0" w:color="auto"/>
              <w:left w:val="single" w:sz="6" w:space="0" w:color="auto"/>
              <w:bottom w:val="single" w:sz="6" w:space="0" w:color="auto"/>
              <w:right w:val="single" w:sz="6" w:space="0" w:color="auto"/>
            </w:tcBorders>
            <w:vAlign w:val="center"/>
            <w:hideMark/>
          </w:tcPr>
          <w:p w14:paraId="3DFA7340" w14:textId="77777777" w:rsidR="00981948" w:rsidRPr="0079656C" w:rsidRDefault="00981948" w:rsidP="00981948">
            <w:pPr>
              <w:keepNext/>
              <w:keepLines/>
              <w:overflowPunct w:val="0"/>
              <w:autoSpaceDE w:val="0"/>
              <w:autoSpaceDN w:val="0"/>
              <w:adjustRightInd w:val="0"/>
              <w:spacing w:after="0" w:line="240" w:lineRule="auto"/>
              <w:rPr>
                <w:rFonts w:eastAsia="Times New Roman"/>
                <w:strike/>
                <w:sz w:val="18"/>
                <w:szCs w:val="20"/>
                <w:lang w:val="en-GB" w:eastAsia="ja-JP"/>
              </w:rPr>
            </w:pPr>
            <w:r w:rsidRPr="0079656C">
              <w:rPr>
                <w:rFonts w:eastAsia="Times New Roman"/>
                <w:strike/>
                <w:sz w:val="18"/>
                <w:szCs w:val="20"/>
                <w:lang w:val="en-GB" w:eastAsia="ja-JP"/>
              </w:rPr>
              <w:t>Systematic error related to EIS spherical coverage</w:t>
            </w:r>
          </w:p>
        </w:tc>
        <w:tc>
          <w:tcPr>
            <w:tcW w:w="1658" w:type="pct"/>
            <w:tcBorders>
              <w:top w:val="single" w:sz="6" w:space="0" w:color="auto"/>
              <w:left w:val="single" w:sz="6" w:space="0" w:color="auto"/>
              <w:bottom w:val="single" w:sz="6" w:space="0" w:color="auto"/>
              <w:right w:val="single" w:sz="6" w:space="0" w:color="auto"/>
            </w:tcBorders>
            <w:hideMark/>
          </w:tcPr>
          <w:p w14:paraId="4C2431F2" w14:textId="77777777" w:rsidR="00981948" w:rsidRPr="0079656C" w:rsidRDefault="00981948" w:rsidP="00981948">
            <w:pPr>
              <w:keepNext/>
              <w:keepLines/>
              <w:overflowPunct w:val="0"/>
              <w:autoSpaceDE w:val="0"/>
              <w:autoSpaceDN w:val="0"/>
              <w:adjustRightInd w:val="0"/>
              <w:spacing w:after="0" w:line="240" w:lineRule="auto"/>
              <w:jc w:val="center"/>
              <w:rPr>
                <w:rFonts w:eastAsia="Times New Roman"/>
                <w:strike/>
                <w:sz w:val="18"/>
                <w:szCs w:val="20"/>
                <w:lang w:val="en-GB" w:eastAsia="en-GB"/>
              </w:rPr>
            </w:pPr>
            <w:r w:rsidRPr="0079656C">
              <w:rPr>
                <w:rFonts w:eastAsia="Times New Roman"/>
                <w:strike/>
                <w:sz w:val="18"/>
                <w:szCs w:val="20"/>
                <w:lang w:val="en-GB" w:eastAsia="en-GB"/>
              </w:rPr>
              <w:t>B.2.2.30</w:t>
            </w:r>
          </w:p>
        </w:tc>
      </w:tr>
    </w:tbl>
    <w:p w14:paraId="5548A6E6" w14:textId="1250F435" w:rsidR="00981948" w:rsidRDefault="00981948" w:rsidP="00981948">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p>
    <w:p w14:paraId="65CEA7DD" w14:textId="4111A13A" w:rsidR="002C64D8" w:rsidRDefault="002C64D8" w:rsidP="002C64D8">
      <w:pPr>
        <w:rPr>
          <w:color w:val="000000" w:themeColor="text1"/>
          <w:lang w:val="en-GB" w:eastAsia="en-US"/>
        </w:rPr>
      </w:pPr>
      <w:r>
        <w:rPr>
          <w:color w:val="000000" w:themeColor="text1"/>
          <w:lang w:val="en-GB" w:eastAsia="en-US"/>
        </w:rPr>
        <w:t xml:space="preserve">Different system implementations of the AWGN generation are possible: One implementation is to generate both the signal and the AWGN in the base band. Another possible implementation is the separate generation of AWGN and its addition in the RF path. Depending on the AWGN implementation different MU contributors from Table 3 have to be accounted for also in the SNR MU table. For the signal and AWGN generation in the base band most of the MU contributors in Table 3 cancel out and do need to be considered in the SNR MU. </w:t>
      </w:r>
    </w:p>
    <w:p w14:paraId="175407D3" w14:textId="1372E253" w:rsidR="0079656C" w:rsidRPr="0079656C" w:rsidRDefault="00810312" w:rsidP="00A561C1">
      <w:pPr>
        <w:rPr>
          <w:color w:val="000000" w:themeColor="text1"/>
          <w:lang w:eastAsia="en-US"/>
        </w:rPr>
      </w:pPr>
      <w:r w:rsidRPr="00810312">
        <w:rPr>
          <w:color w:val="000000" w:themeColor="text1"/>
          <w:lang w:eastAsia="en-US"/>
        </w:rPr>
        <w:t xml:space="preserve">In </w:t>
      </w:r>
      <w:r>
        <w:rPr>
          <w:color w:val="000000" w:themeColor="text1"/>
          <w:lang w:eastAsia="en-US"/>
        </w:rPr>
        <w:t>the following we consider MU contributors from the CTIA test plan whic</w:t>
      </w:r>
      <w:r w:rsidR="00A561C1">
        <w:rPr>
          <w:color w:val="000000" w:themeColor="text1"/>
          <w:lang w:eastAsia="en-US"/>
        </w:rPr>
        <w:t>h have not been</w:t>
      </w:r>
      <w:r w:rsidR="002C64D8">
        <w:rPr>
          <w:color w:val="000000" w:themeColor="text1"/>
          <w:lang w:eastAsia="en-US"/>
        </w:rPr>
        <w:t xml:space="preserve"> explicitly</w:t>
      </w:r>
      <w:r w:rsidR="00A561C1">
        <w:rPr>
          <w:color w:val="000000" w:themeColor="text1"/>
          <w:lang w:eastAsia="en-US"/>
        </w:rPr>
        <w:t xml:space="preserve"> mentioned above:</w:t>
      </w:r>
    </w:p>
    <w:p w14:paraId="18121520" w14:textId="5F66D4F6" w:rsidR="00177009" w:rsidRPr="002C64D8" w:rsidRDefault="00177009" w:rsidP="00177009">
      <w:pPr>
        <w:pStyle w:val="Listenabsatz"/>
        <w:numPr>
          <w:ilvl w:val="0"/>
          <w:numId w:val="7"/>
        </w:numPr>
        <w:autoSpaceDE w:val="0"/>
        <w:autoSpaceDN w:val="0"/>
        <w:adjustRightInd w:val="0"/>
        <w:spacing w:after="0" w:line="240" w:lineRule="auto"/>
        <w:rPr>
          <w:rFonts w:ascii="Arial" w:hAnsi="Arial" w:cs="Arial"/>
          <w:color w:val="000000"/>
          <w:sz w:val="22"/>
          <w:szCs w:val="22"/>
          <w:lang w:val="en-US" w:eastAsia="de-DE"/>
        </w:rPr>
      </w:pPr>
      <w:r w:rsidRPr="002C64D8">
        <w:rPr>
          <w:rFonts w:ascii="Arial" w:hAnsi="Arial" w:cs="Arial"/>
          <w:color w:val="000000"/>
          <w:sz w:val="22"/>
          <w:szCs w:val="22"/>
          <w:lang w:val="en-US" w:eastAsia="de-DE"/>
        </w:rPr>
        <w:t xml:space="preserve">Test System Frequency Flatness Uncertainty </w:t>
      </w:r>
      <w:r w:rsidRPr="002C64D8">
        <w:rPr>
          <w:rFonts w:ascii="Arial" w:hAnsi="Arial" w:cs="Arial"/>
          <w:color w:val="000000"/>
          <w:sz w:val="22"/>
          <w:szCs w:val="22"/>
          <w:lang w:eastAsia="de-DE"/>
        </w:rPr>
        <w:sym w:font="Wingdings" w:char="F0E0"/>
      </w:r>
      <w:r w:rsidRPr="002C64D8">
        <w:rPr>
          <w:rFonts w:ascii="Arial" w:hAnsi="Arial" w:cs="Arial"/>
          <w:color w:val="000000"/>
          <w:sz w:val="22"/>
          <w:szCs w:val="22"/>
          <w:lang w:val="en-US" w:eastAsia="de-DE"/>
        </w:rPr>
        <w:t xml:space="preserve"> included in </w:t>
      </w:r>
      <w:r w:rsidR="0079656C" w:rsidRPr="002C64D8">
        <w:rPr>
          <w:rFonts w:ascii="Arial" w:hAnsi="Arial" w:cs="Arial"/>
          <w:color w:val="000000"/>
          <w:sz w:val="22"/>
          <w:szCs w:val="22"/>
          <w:lang w:val="en-US" w:eastAsia="de-DE"/>
        </w:rPr>
        <w:t xml:space="preserve">device </w:t>
      </w:r>
      <w:r w:rsidR="002C64D8" w:rsidRPr="002C64D8">
        <w:rPr>
          <w:rFonts w:ascii="Arial" w:hAnsi="Arial" w:cs="Arial"/>
          <w:color w:val="000000"/>
          <w:sz w:val="22"/>
          <w:szCs w:val="22"/>
          <w:lang w:val="en-US" w:eastAsia="de-DE"/>
        </w:rPr>
        <w:t>uncertainties</w:t>
      </w:r>
      <w:r w:rsidR="0079656C" w:rsidRPr="002C64D8">
        <w:rPr>
          <w:rFonts w:ascii="Arial" w:hAnsi="Arial" w:cs="Arial"/>
          <w:color w:val="000000"/>
          <w:sz w:val="22"/>
          <w:szCs w:val="22"/>
          <w:lang w:val="en-US" w:eastAsia="de-DE"/>
        </w:rPr>
        <w:t xml:space="preserve"> in </w:t>
      </w:r>
      <w:r w:rsidR="0079656C" w:rsidRPr="002C64D8">
        <w:rPr>
          <w:rFonts w:ascii="Arial" w:hAnsi="Arial" w:cs="Arial"/>
          <w:color w:val="000000"/>
          <w:sz w:val="22"/>
          <w:szCs w:val="22"/>
          <w:lang w:val="en-US" w:eastAsia="de-DE"/>
        </w:rPr>
        <w:fldChar w:fldCharType="begin"/>
      </w:r>
      <w:r w:rsidR="0079656C" w:rsidRPr="002C64D8">
        <w:rPr>
          <w:rFonts w:ascii="Arial" w:hAnsi="Arial" w:cs="Arial"/>
          <w:color w:val="000000"/>
          <w:sz w:val="22"/>
          <w:szCs w:val="22"/>
          <w:lang w:val="en-US" w:eastAsia="de-DE"/>
        </w:rPr>
        <w:instrText xml:space="preserve"> REF _Ref16078040 \h </w:instrText>
      </w:r>
      <w:r w:rsidR="002C64D8" w:rsidRPr="002C64D8">
        <w:rPr>
          <w:rFonts w:ascii="Arial" w:hAnsi="Arial" w:cs="Arial"/>
          <w:color w:val="000000"/>
          <w:sz w:val="22"/>
          <w:szCs w:val="22"/>
          <w:lang w:val="en-US" w:eastAsia="de-DE"/>
        </w:rPr>
        <w:instrText xml:space="preserve"> \* MERGEFORMAT </w:instrText>
      </w:r>
      <w:r w:rsidR="0079656C" w:rsidRPr="002C64D8">
        <w:rPr>
          <w:rFonts w:ascii="Arial" w:hAnsi="Arial" w:cs="Arial"/>
          <w:color w:val="000000"/>
          <w:sz w:val="22"/>
          <w:szCs w:val="22"/>
          <w:lang w:val="en-US" w:eastAsia="de-DE"/>
        </w:rPr>
      </w:r>
      <w:r w:rsidR="0079656C" w:rsidRPr="002C64D8">
        <w:rPr>
          <w:rFonts w:ascii="Arial" w:hAnsi="Arial" w:cs="Arial"/>
          <w:color w:val="000000"/>
          <w:sz w:val="22"/>
          <w:szCs w:val="22"/>
          <w:lang w:val="en-US" w:eastAsia="de-DE"/>
        </w:rPr>
        <w:fldChar w:fldCharType="separate"/>
      </w:r>
      <w:r w:rsidR="0079656C" w:rsidRPr="002C64D8">
        <w:rPr>
          <w:rFonts w:ascii="Arial" w:hAnsi="Arial" w:cs="Arial"/>
          <w:sz w:val="22"/>
          <w:szCs w:val="22"/>
          <w:lang w:val="en-US"/>
        </w:rPr>
        <w:t xml:space="preserve">Table </w:t>
      </w:r>
      <w:r w:rsidR="0079656C" w:rsidRPr="002C64D8">
        <w:rPr>
          <w:rFonts w:ascii="Arial" w:hAnsi="Arial" w:cs="Arial"/>
          <w:noProof/>
          <w:sz w:val="22"/>
          <w:szCs w:val="22"/>
          <w:lang w:val="en-US"/>
        </w:rPr>
        <w:t>3</w:t>
      </w:r>
      <w:r w:rsidR="0079656C" w:rsidRPr="002C64D8">
        <w:rPr>
          <w:rFonts w:ascii="Arial" w:hAnsi="Arial" w:cs="Arial"/>
          <w:color w:val="000000"/>
          <w:sz w:val="22"/>
          <w:szCs w:val="22"/>
          <w:lang w:val="en-US" w:eastAsia="de-DE"/>
        </w:rPr>
        <w:fldChar w:fldCharType="end"/>
      </w:r>
    </w:p>
    <w:p w14:paraId="22CD2B8D" w14:textId="3480CF0F" w:rsidR="0079656C" w:rsidRPr="002C64D8" w:rsidRDefault="0079656C" w:rsidP="00177009">
      <w:pPr>
        <w:pStyle w:val="Listenabsatz"/>
        <w:numPr>
          <w:ilvl w:val="0"/>
          <w:numId w:val="7"/>
        </w:numPr>
        <w:autoSpaceDE w:val="0"/>
        <w:autoSpaceDN w:val="0"/>
        <w:adjustRightInd w:val="0"/>
        <w:spacing w:after="0" w:line="240" w:lineRule="auto"/>
        <w:rPr>
          <w:rFonts w:ascii="Arial" w:hAnsi="Arial" w:cs="Arial"/>
          <w:color w:val="000000"/>
          <w:sz w:val="22"/>
          <w:szCs w:val="22"/>
          <w:lang w:val="en-US" w:eastAsia="de-DE"/>
        </w:rPr>
      </w:pPr>
      <w:r w:rsidRPr="002C64D8">
        <w:rPr>
          <w:rFonts w:ascii="Arial" w:hAnsi="Arial" w:cs="Arial"/>
          <w:color w:val="000000"/>
          <w:sz w:val="22"/>
          <w:szCs w:val="22"/>
          <w:lang w:val="en-US" w:eastAsia="de-DE"/>
        </w:rPr>
        <w:t>Uncertainties related to channel emulator (depends w</w:t>
      </w:r>
      <w:r w:rsidR="002C64D8">
        <w:rPr>
          <w:rFonts w:ascii="Arial" w:hAnsi="Arial" w:cs="Arial"/>
          <w:color w:val="000000"/>
          <w:sz w:val="22"/>
          <w:szCs w:val="22"/>
          <w:lang w:val="en-US" w:eastAsia="de-DE"/>
        </w:rPr>
        <w:t>he</w:t>
      </w:r>
      <w:r w:rsidRPr="002C64D8">
        <w:rPr>
          <w:rFonts w:ascii="Arial" w:hAnsi="Arial" w:cs="Arial"/>
          <w:color w:val="000000"/>
          <w:sz w:val="22"/>
          <w:szCs w:val="22"/>
          <w:lang w:val="en-US" w:eastAsia="de-DE"/>
        </w:rPr>
        <w:t xml:space="preserve">ther an RF fader is applied or not): Rx Stability, Signal Source </w:t>
      </w:r>
      <w:r w:rsidR="002C64D8" w:rsidRPr="002C64D8">
        <w:rPr>
          <w:rFonts w:ascii="Arial" w:hAnsi="Arial" w:cs="Arial"/>
          <w:color w:val="000000"/>
          <w:sz w:val="22"/>
          <w:szCs w:val="22"/>
          <w:lang w:val="en-US" w:eastAsia="de-DE"/>
        </w:rPr>
        <w:t>Linearity</w:t>
      </w:r>
      <w:r w:rsidRPr="002C64D8">
        <w:rPr>
          <w:rFonts w:ascii="Arial" w:hAnsi="Arial" w:cs="Arial"/>
          <w:color w:val="000000"/>
          <w:sz w:val="22"/>
          <w:szCs w:val="22"/>
          <w:lang w:val="en-US" w:eastAsia="de-DE"/>
        </w:rPr>
        <w:t>, Signal Source Stability</w:t>
      </w:r>
    </w:p>
    <w:p w14:paraId="13E197CD" w14:textId="5B609B15" w:rsidR="002C64D8" w:rsidRDefault="0079656C" w:rsidP="002C64D8">
      <w:pPr>
        <w:pStyle w:val="Listenabsatz"/>
        <w:numPr>
          <w:ilvl w:val="0"/>
          <w:numId w:val="7"/>
        </w:numPr>
        <w:autoSpaceDE w:val="0"/>
        <w:autoSpaceDN w:val="0"/>
        <w:adjustRightInd w:val="0"/>
        <w:spacing w:after="0" w:line="240" w:lineRule="auto"/>
        <w:rPr>
          <w:rFonts w:ascii="Arial" w:hAnsi="Arial" w:cs="Arial"/>
          <w:color w:val="000000"/>
          <w:sz w:val="22"/>
          <w:szCs w:val="22"/>
          <w:lang w:val="en-US" w:eastAsia="de-DE"/>
        </w:rPr>
      </w:pPr>
      <w:r w:rsidRPr="002C64D8">
        <w:rPr>
          <w:rFonts w:ascii="Arial" w:hAnsi="Arial" w:cs="Arial"/>
          <w:color w:val="000000"/>
          <w:sz w:val="22"/>
          <w:szCs w:val="22"/>
          <w:lang w:val="en-US" w:eastAsia="de-DE"/>
        </w:rPr>
        <w:lastRenderedPageBreak/>
        <w:t xml:space="preserve">Uncertainties of AWGN source: Absolute Power Reference or </w:t>
      </w:r>
      <w:r w:rsidR="002C64D8" w:rsidRPr="002C64D8">
        <w:rPr>
          <w:rFonts w:ascii="Arial" w:hAnsi="Arial" w:cs="Arial"/>
          <w:color w:val="000000"/>
          <w:sz w:val="22"/>
          <w:szCs w:val="22"/>
          <w:lang w:val="en-US" w:eastAsia="de-DE"/>
        </w:rPr>
        <w:t>Linearity</w:t>
      </w:r>
      <w:r w:rsidRPr="002C64D8">
        <w:rPr>
          <w:rFonts w:ascii="Arial" w:hAnsi="Arial" w:cs="Arial"/>
          <w:color w:val="000000"/>
          <w:sz w:val="22"/>
          <w:szCs w:val="22"/>
          <w:lang w:val="en-US" w:eastAsia="de-DE"/>
        </w:rPr>
        <w:t xml:space="preserve"> and relative error (contribution type depends on whether AWGN source is a separate generator or part of existing test equipment)</w:t>
      </w:r>
    </w:p>
    <w:p w14:paraId="242A4F72" w14:textId="77777777" w:rsidR="002C64D8" w:rsidRDefault="002C64D8" w:rsidP="002C64D8">
      <w:pPr>
        <w:pStyle w:val="Listenabsatz"/>
        <w:numPr>
          <w:ilvl w:val="0"/>
          <w:numId w:val="0"/>
        </w:numPr>
        <w:autoSpaceDE w:val="0"/>
        <w:autoSpaceDN w:val="0"/>
        <w:adjustRightInd w:val="0"/>
        <w:spacing w:after="0" w:line="240" w:lineRule="auto"/>
        <w:ind w:left="720"/>
        <w:rPr>
          <w:rFonts w:ascii="Arial" w:hAnsi="Arial" w:cs="Arial"/>
          <w:color w:val="000000"/>
          <w:sz w:val="22"/>
          <w:szCs w:val="22"/>
          <w:lang w:val="en-US" w:eastAsia="de-DE"/>
        </w:rPr>
      </w:pPr>
    </w:p>
    <w:p w14:paraId="475859E4" w14:textId="53B8F40C" w:rsidR="002C64D8" w:rsidRPr="00D041C2" w:rsidRDefault="002C64D8" w:rsidP="002C64D8">
      <w:pPr>
        <w:autoSpaceDE w:val="0"/>
        <w:autoSpaceDN w:val="0"/>
        <w:adjustRightInd w:val="0"/>
        <w:spacing w:after="0" w:line="240" w:lineRule="auto"/>
        <w:rPr>
          <w:b/>
          <w:color w:val="000000"/>
          <w:lang w:eastAsia="de-DE"/>
        </w:rPr>
      </w:pPr>
      <w:r w:rsidRPr="00D041C2">
        <w:rPr>
          <w:b/>
          <w:color w:val="000000"/>
          <w:lang w:eastAsia="de-DE"/>
        </w:rPr>
        <w:t>Proposal 2: Introduce a table for the AWGN absolute power uncertainty.</w:t>
      </w:r>
    </w:p>
    <w:p w14:paraId="7A476346" w14:textId="758B5ACE" w:rsidR="0079656C" w:rsidRDefault="0079656C" w:rsidP="00A561C1">
      <w:pPr>
        <w:pStyle w:val="Listenabsatz"/>
        <w:numPr>
          <w:ilvl w:val="0"/>
          <w:numId w:val="0"/>
        </w:numPr>
        <w:autoSpaceDE w:val="0"/>
        <w:autoSpaceDN w:val="0"/>
        <w:adjustRightInd w:val="0"/>
        <w:spacing w:after="0" w:line="240" w:lineRule="auto"/>
        <w:ind w:left="720"/>
        <w:rPr>
          <w:color w:val="C9C9C9" w:themeColor="accent3" w:themeTint="99"/>
          <w:sz w:val="18"/>
          <w:szCs w:val="18"/>
          <w:lang w:val="en-US" w:eastAsia="de-DE"/>
        </w:rPr>
      </w:pPr>
    </w:p>
    <w:p w14:paraId="07EE3F3E" w14:textId="1074CF23" w:rsidR="00A561C1" w:rsidRDefault="002C64D8" w:rsidP="002C64D8">
      <w:pPr>
        <w:autoSpaceDE w:val="0"/>
        <w:autoSpaceDN w:val="0"/>
        <w:adjustRightInd w:val="0"/>
        <w:spacing w:after="0" w:line="240" w:lineRule="auto"/>
        <w:rPr>
          <w:color w:val="000000"/>
          <w:lang w:eastAsia="de-DE"/>
        </w:rPr>
      </w:pPr>
      <w:r w:rsidRPr="002C64D8">
        <w:rPr>
          <w:color w:val="000000"/>
          <w:lang w:eastAsia="de-DE"/>
        </w:rPr>
        <w:t>Based</w:t>
      </w:r>
      <w:r>
        <w:rPr>
          <w:color w:val="000000"/>
          <w:lang w:eastAsia="de-DE"/>
        </w:rPr>
        <w:t xml:space="preserve"> on our review of TR 37.977 we make the following observations:</w:t>
      </w:r>
    </w:p>
    <w:p w14:paraId="6C3B38BF" w14:textId="731C1FFB" w:rsidR="002C64D8" w:rsidRDefault="002C64D8" w:rsidP="002C64D8">
      <w:pPr>
        <w:autoSpaceDE w:val="0"/>
        <w:autoSpaceDN w:val="0"/>
        <w:adjustRightInd w:val="0"/>
        <w:spacing w:after="0" w:line="240" w:lineRule="auto"/>
        <w:rPr>
          <w:color w:val="000000"/>
          <w:lang w:eastAsia="de-DE"/>
        </w:rPr>
      </w:pPr>
    </w:p>
    <w:p w14:paraId="1903C869" w14:textId="4DA71199" w:rsidR="002C64D8" w:rsidRPr="00D041C2" w:rsidRDefault="002C64D8" w:rsidP="002C64D8">
      <w:pPr>
        <w:autoSpaceDE w:val="0"/>
        <w:autoSpaceDN w:val="0"/>
        <w:adjustRightInd w:val="0"/>
        <w:spacing w:after="0" w:line="240" w:lineRule="auto"/>
        <w:rPr>
          <w:b/>
          <w:color w:val="000000"/>
          <w:lang w:eastAsia="de-DE"/>
        </w:rPr>
      </w:pPr>
      <w:r w:rsidRPr="00D041C2">
        <w:rPr>
          <w:b/>
          <w:color w:val="000000"/>
          <w:lang w:eastAsia="de-DE"/>
        </w:rPr>
        <w:t xml:space="preserve">Observation </w:t>
      </w:r>
      <w:r w:rsidR="00D041C2" w:rsidRPr="00D041C2">
        <w:rPr>
          <w:b/>
          <w:color w:val="000000"/>
          <w:lang w:eastAsia="de-DE"/>
        </w:rPr>
        <w:t>2</w:t>
      </w:r>
      <w:r w:rsidRPr="00D041C2">
        <w:rPr>
          <w:b/>
          <w:color w:val="000000"/>
          <w:lang w:eastAsia="de-DE"/>
        </w:rPr>
        <w:t>: TR 37.977 contains verification procedures in order to ensure that the channel models are implemented correctly.</w:t>
      </w:r>
    </w:p>
    <w:p w14:paraId="2B82FCAE" w14:textId="0EF15822" w:rsidR="002C64D8" w:rsidRDefault="002C64D8" w:rsidP="002C64D8">
      <w:pPr>
        <w:autoSpaceDE w:val="0"/>
        <w:autoSpaceDN w:val="0"/>
        <w:adjustRightInd w:val="0"/>
        <w:spacing w:after="0" w:line="240" w:lineRule="auto"/>
        <w:rPr>
          <w:color w:val="000000"/>
          <w:lang w:eastAsia="de-DE"/>
        </w:rPr>
      </w:pPr>
    </w:p>
    <w:p w14:paraId="5BCED3B6" w14:textId="433A02D0" w:rsidR="002C64D8" w:rsidRPr="00D041C2" w:rsidRDefault="002C64D8" w:rsidP="002C64D8">
      <w:pPr>
        <w:autoSpaceDE w:val="0"/>
        <w:autoSpaceDN w:val="0"/>
        <w:adjustRightInd w:val="0"/>
        <w:spacing w:after="0" w:line="240" w:lineRule="auto"/>
        <w:rPr>
          <w:b/>
          <w:color w:val="000000"/>
          <w:lang w:eastAsia="de-DE"/>
        </w:rPr>
      </w:pPr>
      <w:r w:rsidRPr="00D041C2">
        <w:rPr>
          <w:b/>
          <w:color w:val="000000"/>
          <w:lang w:eastAsia="de-DE"/>
        </w:rPr>
        <w:t xml:space="preserve">Proposal 3: RAN5 to discuss the introduction of verification methods for channel model implementations into the test specification. </w:t>
      </w:r>
    </w:p>
    <w:p w14:paraId="238ABF2E" w14:textId="6286BA58" w:rsidR="002C64D8" w:rsidRDefault="002C64D8" w:rsidP="002C64D8">
      <w:pPr>
        <w:autoSpaceDE w:val="0"/>
        <w:autoSpaceDN w:val="0"/>
        <w:adjustRightInd w:val="0"/>
        <w:spacing w:after="0" w:line="240" w:lineRule="auto"/>
        <w:rPr>
          <w:color w:val="000000"/>
          <w:lang w:eastAsia="de-DE"/>
        </w:rPr>
      </w:pPr>
    </w:p>
    <w:p w14:paraId="65A7B522" w14:textId="10B5CC75" w:rsidR="00152013" w:rsidRPr="00D041C2" w:rsidRDefault="00D041C2" w:rsidP="002C64D8">
      <w:pPr>
        <w:autoSpaceDE w:val="0"/>
        <w:autoSpaceDN w:val="0"/>
        <w:adjustRightInd w:val="0"/>
        <w:spacing w:after="0" w:line="240" w:lineRule="auto"/>
        <w:rPr>
          <w:b/>
          <w:color w:val="000000"/>
          <w:lang w:eastAsia="de-DE"/>
        </w:rPr>
      </w:pPr>
      <w:r>
        <w:rPr>
          <w:b/>
          <w:color w:val="000000"/>
          <w:lang w:eastAsia="de-DE"/>
        </w:rPr>
        <w:t>Observation 3</w:t>
      </w:r>
      <w:r w:rsidR="00152013" w:rsidRPr="00D041C2">
        <w:rPr>
          <w:b/>
          <w:color w:val="000000"/>
          <w:lang w:eastAsia="de-DE"/>
        </w:rPr>
        <w:t xml:space="preserve">: TR 37.977 contains additional MU contributors which should be considered for FR2 Demod: </w:t>
      </w:r>
    </w:p>
    <w:p w14:paraId="7CD2352E" w14:textId="7BFE2651" w:rsidR="00152013" w:rsidRPr="00D041C2" w:rsidRDefault="00152013" w:rsidP="00152013">
      <w:pPr>
        <w:pStyle w:val="Listenabsatz"/>
        <w:numPr>
          <w:ilvl w:val="0"/>
          <w:numId w:val="8"/>
        </w:numPr>
        <w:autoSpaceDE w:val="0"/>
        <w:autoSpaceDN w:val="0"/>
        <w:adjustRightInd w:val="0"/>
        <w:spacing w:after="0" w:line="240" w:lineRule="auto"/>
        <w:rPr>
          <w:rFonts w:ascii="Arial" w:hAnsi="Arial" w:cs="Arial"/>
          <w:b/>
          <w:color w:val="000000"/>
          <w:sz w:val="22"/>
          <w:szCs w:val="22"/>
          <w:lang w:val="en-US" w:eastAsia="de-DE"/>
        </w:rPr>
      </w:pPr>
      <w:r w:rsidRPr="00D041C2">
        <w:rPr>
          <w:rFonts w:ascii="Arial" w:hAnsi="Arial" w:cs="Arial"/>
          <w:b/>
          <w:color w:val="000000"/>
          <w:sz w:val="22"/>
          <w:szCs w:val="22"/>
          <w:lang w:val="en-US" w:eastAsia="de-DE"/>
        </w:rPr>
        <w:t>Impact of non-ideal isolation between streams</w:t>
      </w:r>
    </w:p>
    <w:p w14:paraId="6010DCA6" w14:textId="13B43862" w:rsidR="00152013" w:rsidRPr="00D041C2" w:rsidRDefault="00152013" w:rsidP="00152013">
      <w:pPr>
        <w:pStyle w:val="Listenabsatz"/>
        <w:numPr>
          <w:ilvl w:val="0"/>
          <w:numId w:val="8"/>
        </w:numPr>
        <w:autoSpaceDE w:val="0"/>
        <w:autoSpaceDN w:val="0"/>
        <w:adjustRightInd w:val="0"/>
        <w:spacing w:after="0" w:line="240" w:lineRule="auto"/>
        <w:rPr>
          <w:rFonts w:ascii="Arial" w:hAnsi="Arial" w:cs="Arial"/>
          <w:b/>
          <w:color w:val="000000"/>
          <w:sz w:val="22"/>
          <w:szCs w:val="22"/>
          <w:lang w:val="en-US" w:eastAsia="de-DE"/>
        </w:rPr>
      </w:pPr>
      <w:r w:rsidRPr="00D041C2">
        <w:rPr>
          <w:rFonts w:ascii="Arial" w:hAnsi="Arial" w:cs="Arial"/>
          <w:b/>
          <w:color w:val="000000"/>
          <w:sz w:val="22"/>
          <w:szCs w:val="22"/>
          <w:lang w:val="en-US" w:eastAsia="de-DE"/>
        </w:rPr>
        <w:t>Impact of ATF pattern error on TP</w:t>
      </w:r>
    </w:p>
    <w:p w14:paraId="6332A0DA" w14:textId="0B899B12" w:rsidR="00A561C1" w:rsidRPr="00152660" w:rsidRDefault="00A561C1" w:rsidP="00981948">
      <w:pPr>
        <w:overflowPunct w:val="0"/>
        <w:autoSpaceDE w:val="0"/>
        <w:autoSpaceDN w:val="0"/>
        <w:adjustRightInd w:val="0"/>
        <w:spacing w:after="180" w:line="240" w:lineRule="auto"/>
        <w:rPr>
          <w:rFonts w:eastAsia="Times New Roman"/>
          <w:szCs w:val="20"/>
          <w:lang w:val="en-GB" w:eastAsia="en-GB"/>
        </w:rPr>
      </w:pPr>
    </w:p>
    <w:p w14:paraId="3A89BDBB" w14:textId="0C86A8B9" w:rsidR="004D37F1" w:rsidRDefault="000C6B9C" w:rsidP="005E31AA">
      <w:pPr>
        <w:rPr>
          <w:b/>
          <w:lang w:eastAsia="en-US"/>
        </w:rPr>
      </w:pPr>
      <w:r>
        <w:rPr>
          <w:b/>
          <w:lang w:eastAsia="en-US"/>
        </w:rPr>
        <w:t>Proposal 4</w:t>
      </w:r>
      <w:r w:rsidR="00981948" w:rsidRPr="004D37F1">
        <w:rPr>
          <w:b/>
          <w:lang w:eastAsia="en-US"/>
        </w:rPr>
        <w:t xml:space="preserve">: </w:t>
      </w:r>
      <w:r w:rsidR="002F27E0">
        <w:rPr>
          <w:b/>
          <w:lang w:eastAsia="en-US"/>
        </w:rPr>
        <w:t xml:space="preserve">Consider the </w:t>
      </w:r>
      <w:r w:rsidR="002C64D8">
        <w:rPr>
          <w:b/>
          <w:lang w:eastAsia="en-US"/>
        </w:rPr>
        <w:t xml:space="preserve">discussed </w:t>
      </w:r>
      <w:r w:rsidR="002F27E0">
        <w:rPr>
          <w:b/>
          <w:lang w:eastAsia="en-US"/>
        </w:rPr>
        <w:t xml:space="preserve">MU contributors when deriving the MU of FR2 demod test cases. </w:t>
      </w:r>
    </w:p>
    <w:p w14:paraId="6CE701AC" w14:textId="7E316101" w:rsidR="00810312" w:rsidRDefault="00810312" w:rsidP="00810312">
      <w:pPr>
        <w:pStyle w:val="berschrift2"/>
      </w:pPr>
      <w:r>
        <w:rPr>
          <w:lang w:val="de-DE"/>
        </w:rPr>
        <w:t xml:space="preserve">Test System </w:t>
      </w:r>
      <w:r w:rsidRPr="00152660">
        <w:rPr>
          <w:lang w:val="en-US"/>
        </w:rPr>
        <w:t>Assumption</w:t>
      </w:r>
    </w:p>
    <w:p w14:paraId="26C8C70E" w14:textId="75239899" w:rsidR="00810312" w:rsidRPr="00152013" w:rsidRDefault="00152013" w:rsidP="00810312">
      <w:pPr>
        <w:rPr>
          <w:color w:val="000000" w:themeColor="text1"/>
          <w:lang w:eastAsia="en-US"/>
        </w:rPr>
      </w:pPr>
      <w:r w:rsidRPr="00152013">
        <w:rPr>
          <w:color w:val="000000" w:themeColor="text1"/>
          <w:lang w:eastAsia="en-US"/>
        </w:rPr>
        <w:t>Regarding the test system,</w:t>
      </w:r>
      <w:r w:rsidR="00810312" w:rsidRPr="00152013">
        <w:rPr>
          <w:color w:val="000000" w:themeColor="text1"/>
          <w:lang w:eastAsia="en-US"/>
        </w:rPr>
        <w:t xml:space="preserve"> our assumption</w:t>
      </w:r>
      <w:r w:rsidRPr="00152013">
        <w:rPr>
          <w:color w:val="000000" w:themeColor="text1"/>
          <w:lang w:eastAsia="en-US"/>
        </w:rPr>
        <w:t xml:space="preserve"> i</w:t>
      </w:r>
      <w:bookmarkStart w:id="3" w:name="_GoBack"/>
      <w:bookmarkEnd w:id="3"/>
      <w:r w:rsidRPr="00152013">
        <w:rPr>
          <w:color w:val="000000" w:themeColor="text1"/>
          <w:lang w:eastAsia="en-US"/>
        </w:rPr>
        <w:t>s</w:t>
      </w:r>
      <w:r w:rsidR="00810312" w:rsidRPr="00152013">
        <w:rPr>
          <w:color w:val="000000" w:themeColor="text1"/>
          <w:lang w:eastAsia="en-US"/>
        </w:rPr>
        <w:t xml:space="preserve"> that an IFF system with the same or very similar properties as already discussed for RF is reused. </w:t>
      </w:r>
    </w:p>
    <w:p w14:paraId="7F8918E8" w14:textId="1A55B001" w:rsidR="00810312" w:rsidRPr="00152013" w:rsidRDefault="000C6B9C" w:rsidP="00810312">
      <w:pPr>
        <w:rPr>
          <w:b/>
          <w:color w:val="000000" w:themeColor="text1"/>
          <w:lang w:eastAsia="en-US"/>
        </w:rPr>
      </w:pPr>
      <w:r>
        <w:rPr>
          <w:b/>
          <w:color w:val="000000" w:themeColor="text1"/>
          <w:lang w:eastAsia="en-US"/>
        </w:rPr>
        <w:t>Proposal 5</w:t>
      </w:r>
      <w:r w:rsidR="00810312" w:rsidRPr="00152013">
        <w:rPr>
          <w:b/>
          <w:color w:val="000000" w:themeColor="text1"/>
          <w:lang w:eastAsia="en-US"/>
        </w:rPr>
        <w:t xml:space="preserve">: Base the MU derivation on an IFF system with same/similar properties as assumed for the RF MUs. </w:t>
      </w:r>
    </w:p>
    <w:p w14:paraId="26BB5E07" w14:textId="77777777" w:rsidR="00810312" w:rsidRPr="004D37F1" w:rsidRDefault="00810312" w:rsidP="005E31AA">
      <w:pPr>
        <w:rPr>
          <w:b/>
          <w:lang w:eastAsia="en-US"/>
        </w:rPr>
      </w:pPr>
    </w:p>
    <w:p w14:paraId="5F3C80D9" w14:textId="77777777" w:rsidR="00E512D5" w:rsidRDefault="00E512D5" w:rsidP="005E31AA">
      <w:pPr>
        <w:rPr>
          <w:lang w:eastAsia="en-US"/>
        </w:rPr>
      </w:pPr>
    </w:p>
    <w:bookmarkEnd w:id="0"/>
    <w:bookmarkEnd w:id="1"/>
    <w:p w14:paraId="7F705E55" w14:textId="656C3BCF" w:rsidR="00AA56D9" w:rsidRPr="00037AB8" w:rsidRDefault="00AA56D9" w:rsidP="00AA56D9">
      <w:pPr>
        <w:pStyle w:val="berschrift1"/>
        <w:rPr>
          <w:lang w:val="en-US"/>
        </w:rPr>
      </w:pPr>
      <w:r w:rsidRPr="00037AB8">
        <w:rPr>
          <w:lang w:val="en-US"/>
        </w:rPr>
        <w:tab/>
        <w:t>Conclusion</w:t>
      </w:r>
    </w:p>
    <w:p w14:paraId="043F6814" w14:textId="4B500A6F" w:rsidR="00AA56D9" w:rsidRDefault="00D00445" w:rsidP="00AA56D9">
      <w:pPr>
        <w:rPr>
          <w:lang w:eastAsia="en-US"/>
        </w:rPr>
      </w:pPr>
      <w:r w:rsidRPr="00037AB8">
        <w:rPr>
          <w:lang w:eastAsia="en-US"/>
        </w:rPr>
        <w:t xml:space="preserve">In summary, </w:t>
      </w:r>
      <w:r w:rsidR="00D041C2">
        <w:rPr>
          <w:lang w:eastAsia="en-US"/>
        </w:rPr>
        <w:t xml:space="preserve">the </w:t>
      </w:r>
      <w:r w:rsidR="002F27E0">
        <w:rPr>
          <w:lang w:eastAsia="en-US"/>
        </w:rPr>
        <w:t xml:space="preserve">MU contributors for FR2 demod test cases has been </w:t>
      </w:r>
      <w:r w:rsidR="00D041C2">
        <w:rPr>
          <w:lang w:eastAsia="en-US"/>
        </w:rPr>
        <w:t>reviewed</w:t>
      </w:r>
      <w:r w:rsidR="004D37F1">
        <w:rPr>
          <w:lang w:eastAsia="en-US"/>
        </w:rPr>
        <w:t>.</w:t>
      </w:r>
    </w:p>
    <w:p w14:paraId="175DEE1B" w14:textId="49455398" w:rsidR="00D041C2" w:rsidRDefault="00D041C2" w:rsidP="00D041C2">
      <w:pPr>
        <w:rPr>
          <w:b/>
          <w:iCs/>
          <w:szCs w:val="18"/>
          <w:lang w:eastAsia="de-DE"/>
        </w:rPr>
      </w:pPr>
      <w:r w:rsidRPr="004110D3">
        <w:rPr>
          <w:b/>
          <w:iCs/>
          <w:szCs w:val="18"/>
          <w:lang w:eastAsia="de-DE"/>
        </w:rPr>
        <w:t xml:space="preserve">Observation 1: The uncertainties </w:t>
      </w:r>
      <w:r>
        <w:rPr>
          <w:b/>
          <w:iCs/>
          <w:szCs w:val="18"/>
          <w:lang w:eastAsia="de-DE"/>
        </w:rPr>
        <w:t xml:space="preserve">listed in Table 1 and 2 </w:t>
      </w:r>
      <w:r w:rsidRPr="004110D3">
        <w:rPr>
          <w:b/>
          <w:iCs/>
          <w:szCs w:val="18"/>
          <w:lang w:eastAsia="de-DE"/>
        </w:rPr>
        <w:t xml:space="preserve">have to be considered for FR2 in a similar way as for </w:t>
      </w:r>
      <w:r>
        <w:rPr>
          <w:b/>
          <w:iCs/>
          <w:szCs w:val="18"/>
          <w:lang w:eastAsia="de-DE"/>
        </w:rPr>
        <w:t>LTE</w:t>
      </w:r>
      <w:r w:rsidRPr="004110D3">
        <w:rPr>
          <w:b/>
          <w:iCs/>
          <w:szCs w:val="18"/>
          <w:lang w:eastAsia="de-DE"/>
        </w:rPr>
        <w:t>. In addition uncertainties related to the radiated testing have to be considered.</w:t>
      </w:r>
    </w:p>
    <w:p w14:paraId="13050738" w14:textId="77777777" w:rsidR="00D041C2" w:rsidRPr="004110D3" w:rsidRDefault="00D041C2" w:rsidP="00D041C2">
      <w:pPr>
        <w:rPr>
          <w:b/>
          <w:iCs/>
          <w:szCs w:val="18"/>
          <w:lang w:eastAsia="de-DE"/>
        </w:rPr>
      </w:pPr>
      <w:r>
        <w:rPr>
          <w:b/>
          <w:iCs/>
          <w:szCs w:val="18"/>
          <w:lang w:eastAsia="de-DE"/>
        </w:rPr>
        <w:t>Proposal 1: Separate the MU tables for FR2 demod into test case specific tables and general tables applicable to a set of test cases, e.g., one for AWGN absolute power.</w:t>
      </w:r>
    </w:p>
    <w:p w14:paraId="79A51C17" w14:textId="77777777" w:rsidR="00D041C2" w:rsidRPr="00D041C2" w:rsidRDefault="00D041C2" w:rsidP="00D041C2">
      <w:pPr>
        <w:autoSpaceDE w:val="0"/>
        <w:autoSpaceDN w:val="0"/>
        <w:adjustRightInd w:val="0"/>
        <w:spacing w:after="0" w:line="240" w:lineRule="auto"/>
        <w:rPr>
          <w:b/>
          <w:color w:val="000000"/>
          <w:lang w:eastAsia="de-DE"/>
        </w:rPr>
      </w:pPr>
      <w:r w:rsidRPr="00D041C2">
        <w:rPr>
          <w:b/>
          <w:color w:val="000000"/>
          <w:lang w:eastAsia="de-DE"/>
        </w:rPr>
        <w:t>Proposal 2: Introduce a table for the AWGN absolute power uncertainty.</w:t>
      </w:r>
    </w:p>
    <w:p w14:paraId="627378D9" w14:textId="77777777" w:rsidR="00D041C2" w:rsidRDefault="00D041C2" w:rsidP="00D041C2">
      <w:pPr>
        <w:autoSpaceDE w:val="0"/>
        <w:autoSpaceDN w:val="0"/>
        <w:adjustRightInd w:val="0"/>
        <w:spacing w:after="0" w:line="240" w:lineRule="auto"/>
        <w:rPr>
          <w:b/>
          <w:color w:val="000000"/>
          <w:lang w:eastAsia="de-DE"/>
        </w:rPr>
      </w:pPr>
    </w:p>
    <w:p w14:paraId="3DF9690A" w14:textId="667CF297" w:rsidR="00D041C2" w:rsidRPr="00D041C2" w:rsidRDefault="00D041C2" w:rsidP="00D041C2">
      <w:pPr>
        <w:autoSpaceDE w:val="0"/>
        <w:autoSpaceDN w:val="0"/>
        <w:adjustRightInd w:val="0"/>
        <w:spacing w:after="0" w:line="240" w:lineRule="auto"/>
        <w:rPr>
          <w:b/>
          <w:color w:val="000000"/>
          <w:lang w:eastAsia="de-DE"/>
        </w:rPr>
      </w:pPr>
      <w:r w:rsidRPr="00D041C2">
        <w:rPr>
          <w:b/>
          <w:color w:val="000000"/>
          <w:lang w:eastAsia="de-DE"/>
        </w:rPr>
        <w:t>Observation 2: TR 37.977 contains verification procedures in order to ensure that the channel models are implemented correctly.</w:t>
      </w:r>
    </w:p>
    <w:p w14:paraId="1BF33DC0" w14:textId="44D7D7C1" w:rsidR="00D041C2" w:rsidRDefault="00D041C2" w:rsidP="00D041C2">
      <w:pPr>
        <w:rPr>
          <w:b/>
          <w:iCs/>
          <w:szCs w:val="18"/>
          <w:lang w:eastAsia="de-DE"/>
        </w:rPr>
      </w:pPr>
    </w:p>
    <w:p w14:paraId="5C157341" w14:textId="77777777" w:rsidR="00D041C2" w:rsidRPr="00D041C2" w:rsidRDefault="00D041C2" w:rsidP="00D041C2">
      <w:pPr>
        <w:autoSpaceDE w:val="0"/>
        <w:autoSpaceDN w:val="0"/>
        <w:adjustRightInd w:val="0"/>
        <w:spacing w:after="0" w:line="240" w:lineRule="auto"/>
        <w:rPr>
          <w:b/>
          <w:color w:val="000000"/>
          <w:lang w:eastAsia="de-DE"/>
        </w:rPr>
      </w:pPr>
      <w:r w:rsidRPr="00D041C2">
        <w:rPr>
          <w:b/>
          <w:color w:val="000000"/>
          <w:lang w:eastAsia="de-DE"/>
        </w:rPr>
        <w:lastRenderedPageBreak/>
        <w:t xml:space="preserve">Proposal 3: RAN5 to discuss the introduction of verification methods for channel model implementations into the test specification. </w:t>
      </w:r>
    </w:p>
    <w:p w14:paraId="277CDCD5" w14:textId="443F601E" w:rsidR="00D041C2" w:rsidRDefault="00D041C2" w:rsidP="00D041C2">
      <w:pPr>
        <w:rPr>
          <w:b/>
          <w:iCs/>
          <w:szCs w:val="18"/>
          <w:lang w:eastAsia="de-DE"/>
        </w:rPr>
      </w:pPr>
    </w:p>
    <w:p w14:paraId="6DBF77CF" w14:textId="7313E031" w:rsidR="00D041C2" w:rsidRPr="00D041C2" w:rsidRDefault="00D041C2" w:rsidP="00D041C2">
      <w:pPr>
        <w:autoSpaceDE w:val="0"/>
        <w:autoSpaceDN w:val="0"/>
        <w:adjustRightInd w:val="0"/>
        <w:spacing w:after="0" w:line="240" w:lineRule="auto"/>
        <w:rPr>
          <w:b/>
          <w:color w:val="000000"/>
          <w:lang w:eastAsia="de-DE"/>
        </w:rPr>
      </w:pPr>
      <w:r>
        <w:rPr>
          <w:b/>
          <w:color w:val="000000"/>
          <w:lang w:eastAsia="de-DE"/>
        </w:rPr>
        <w:t>Observation 3</w:t>
      </w:r>
      <w:r w:rsidRPr="00D041C2">
        <w:rPr>
          <w:b/>
          <w:color w:val="000000"/>
          <w:lang w:eastAsia="de-DE"/>
        </w:rPr>
        <w:t xml:space="preserve">: TR 37.977 contains additional MU contributors which should be considered for FR2 Demod: </w:t>
      </w:r>
    </w:p>
    <w:p w14:paraId="65643B14" w14:textId="77777777" w:rsidR="00D041C2" w:rsidRPr="00D041C2" w:rsidRDefault="00D041C2" w:rsidP="00D041C2">
      <w:pPr>
        <w:pStyle w:val="Listenabsatz"/>
        <w:numPr>
          <w:ilvl w:val="0"/>
          <w:numId w:val="8"/>
        </w:numPr>
        <w:autoSpaceDE w:val="0"/>
        <w:autoSpaceDN w:val="0"/>
        <w:adjustRightInd w:val="0"/>
        <w:spacing w:after="0" w:line="240" w:lineRule="auto"/>
        <w:rPr>
          <w:rFonts w:ascii="Arial" w:hAnsi="Arial" w:cs="Arial"/>
          <w:b/>
          <w:color w:val="000000"/>
          <w:sz w:val="22"/>
          <w:szCs w:val="22"/>
          <w:lang w:val="en-US" w:eastAsia="de-DE"/>
        </w:rPr>
      </w:pPr>
      <w:r w:rsidRPr="00D041C2">
        <w:rPr>
          <w:rFonts w:ascii="Arial" w:hAnsi="Arial" w:cs="Arial"/>
          <w:b/>
          <w:color w:val="000000"/>
          <w:sz w:val="22"/>
          <w:szCs w:val="22"/>
          <w:lang w:val="en-US" w:eastAsia="de-DE"/>
        </w:rPr>
        <w:t>Impact of non-ideal isolation between streams</w:t>
      </w:r>
    </w:p>
    <w:p w14:paraId="513B6A45" w14:textId="77777777" w:rsidR="00D041C2" w:rsidRPr="00D041C2" w:rsidRDefault="00D041C2" w:rsidP="00D041C2">
      <w:pPr>
        <w:pStyle w:val="Listenabsatz"/>
        <w:numPr>
          <w:ilvl w:val="0"/>
          <w:numId w:val="8"/>
        </w:numPr>
        <w:autoSpaceDE w:val="0"/>
        <w:autoSpaceDN w:val="0"/>
        <w:adjustRightInd w:val="0"/>
        <w:spacing w:after="0" w:line="240" w:lineRule="auto"/>
        <w:rPr>
          <w:rFonts w:ascii="Arial" w:hAnsi="Arial" w:cs="Arial"/>
          <w:b/>
          <w:color w:val="000000"/>
          <w:sz w:val="22"/>
          <w:szCs w:val="22"/>
          <w:lang w:val="en-US" w:eastAsia="de-DE"/>
        </w:rPr>
      </w:pPr>
      <w:r w:rsidRPr="00D041C2">
        <w:rPr>
          <w:rFonts w:ascii="Arial" w:hAnsi="Arial" w:cs="Arial"/>
          <w:b/>
          <w:color w:val="000000"/>
          <w:sz w:val="22"/>
          <w:szCs w:val="22"/>
          <w:lang w:val="en-US" w:eastAsia="de-DE"/>
        </w:rPr>
        <w:t>Impact of ATF pattern error on TP</w:t>
      </w:r>
    </w:p>
    <w:p w14:paraId="4E5726E7" w14:textId="77777777" w:rsidR="00D041C2" w:rsidRDefault="00D041C2" w:rsidP="00D041C2">
      <w:pPr>
        <w:rPr>
          <w:b/>
          <w:iCs/>
          <w:szCs w:val="18"/>
          <w:lang w:eastAsia="de-DE"/>
        </w:rPr>
      </w:pPr>
    </w:p>
    <w:p w14:paraId="6C52556E" w14:textId="08338CB2" w:rsidR="00D041C2" w:rsidRDefault="000C6B9C" w:rsidP="00D041C2">
      <w:pPr>
        <w:rPr>
          <w:b/>
          <w:lang w:eastAsia="en-US"/>
        </w:rPr>
      </w:pPr>
      <w:r>
        <w:rPr>
          <w:b/>
          <w:lang w:eastAsia="en-US"/>
        </w:rPr>
        <w:t>Proposal 4</w:t>
      </w:r>
      <w:r w:rsidR="00D041C2" w:rsidRPr="004D37F1">
        <w:rPr>
          <w:b/>
          <w:lang w:eastAsia="en-US"/>
        </w:rPr>
        <w:t xml:space="preserve">: </w:t>
      </w:r>
      <w:r w:rsidR="00D041C2">
        <w:rPr>
          <w:b/>
          <w:lang w:eastAsia="en-US"/>
        </w:rPr>
        <w:t xml:space="preserve">Consider the discussed MU contributors when deriving the MU of FR2 demod test cases. </w:t>
      </w:r>
    </w:p>
    <w:p w14:paraId="3DAC44A5" w14:textId="2A4412AF" w:rsidR="00D041C2" w:rsidRPr="00152013" w:rsidRDefault="00D041C2" w:rsidP="00D041C2">
      <w:pPr>
        <w:rPr>
          <w:b/>
          <w:color w:val="000000" w:themeColor="text1"/>
          <w:lang w:eastAsia="en-US"/>
        </w:rPr>
      </w:pPr>
      <w:bookmarkStart w:id="4" w:name="_Ref473660868"/>
      <w:bookmarkStart w:id="5" w:name="_Ref473660708"/>
      <w:bookmarkStart w:id="6" w:name="OLE_LINK6"/>
      <w:bookmarkStart w:id="7" w:name="OLE_LINK7"/>
      <w:r w:rsidRPr="00152013">
        <w:rPr>
          <w:b/>
          <w:color w:val="000000" w:themeColor="text1"/>
          <w:lang w:eastAsia="en-US"/>
        </w:rPr>
        <w:t xml:space="preserve">Proposal </w:t>
      </w:r>
      <w:r w:rsidR="000C6B9C">
        <w:rPr>
          <w:b/>
          <w:color w:val="000000" w:themeColor="text1"/>
          <w:lang w:eastAsia="en-US"/>
        </w:rPr>
        <w:t>5</w:t>
      </w:r>
      <w:r w:rsidRPr="00152013">
        <w:rPr>
          <w:b/>
          <w:color w:val="000000" w:themeColor="text1"/>
          <w:lang w:eastAsia="en-US"/>
        </w:rPr>
        <w:t xml:space="preserve">: Base the MU derivation on an IFF system with same/similar properties as assumed for the RF MUs. </w:t>
      </w:r>
    </w:p>
    <w:p w14:paraId="0B2C4AC6" w14:textId="4895ED80" w:rsidR="00AF2B58" w:rsidRPr="00037AB8" w:rsidRDefault="00AF2B58" w:rsidP="00AF2B58">
      <w:pPr>
        <w:pStyle w:val="berschrift1"/>
        <w:numPr>
          <w:ilvl w:val="0"/>
          <w:numId w:val="0"/>
        </w:numPr>
        <w:ind w:left="432" w:hanging="432"/>
        <w:rPr>
          <w:rFonts w:cs="Arial"/>
          <w:lang w:val="en-US"/>
        </w:rPr>
      </w:pPr>
      <w:r w:rsidRPr="00037AB8">
        <w:rPr>
          <w:rFonts w:cs="Arial"/>
          <w:lang w:val="en-US"/>
        </w:rPr>
        <w:t>References</w:t>
      </w:r>
    </w:p>
    <w:p w14:paraId="2AF5DD5C" w14:textId="3C07586F" w:rsidR="00CF1BD3" w:rsidRDefault="00CF1BD3" w:rsidP="00153F93">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CF1BD3">
        <w:rPr>
          <w:rFonts w:asciiTheme="minorHAnsi" w:eastAsiaTheme="minorHAnsi" w:hAnsiTheme="minorHAnsi" w:cstheme="minorBidi"/>
          <w:sz w:val="20"/>
          <w:szCs w:val="20"/>
          <w:lang w:eastAsia="en-US"/>
        </w:rPr>
        <w:t>R5-19</w:t>
      </w:r>
      <w:r w:rsidR="00153F93">
        <w:rPr>
          <w:rFonts w:asciiTheme="minorHAnsi" w:eastAsiaTheme="minorHAnsi" w:hAnsiTheme="minorHAnsi" w:cstheme="minorBidi"/>
          <w:sz w:val="20"/>
          <w:szCs w:val="20"/>
          <w:lang w:eastAsia="en-US"/>
        </w:rPr>
        <w:t>5400</w:t>
      </w:r>
      <w:r w:rsidRPr="00CF1BD3">
        <w:rPr>
          <w:rFonts w:asciiTheme="minorHAnsi" w:eastAsiaTheme="minorHAnsi" w:hAnsiTheme="minorHAnsi" w:cstheme="minorBidi"/>
          <w:sz w:val="20"/>
          <w:szCs w:val="20"/>
          <w:lang w:eastAsia="en-US"/>
        </w:rPr>
        <w:t xml:space="preserve">, </w:t>
      </w:r>
      <w:r w:rsidR="00153F93" w:rsidRPr="00153F93">
        <w:rPr>
          <w:rFonts w:asciiTheme="minorHAnsi" w:eastAsiaTheme="minorHAnsi" w:hAnsiTheme="minorHAnsi" w:cstheme="minorBidi"/>
          <w:sz w:val="20"/>
          <w:szCs w:val="20"/>
          <w:lang w:eastAsia="en-US"/>
        </w:rPr>
        <w:t>WF on FR2 Demod MU</w:t>
      </w:r>
      <w:r w:rsidR="00153F93">
        <w:rPr>
          <w:rFonts w:asciiTheme="minorHAnsi" w:eastAsiaTheme="minorHAnsi" w:hAnsiTheme="minorHAnsi" w:cstheme="minorBidi"/>
          <w:sz w:val="20"/>
          <w:szCs w:val="20"/>
          <w:lang w:eastAsia="en-US"/>
        </w:rPr>
        <w:t xml:space="preserve">, </w:t>
      </w:r>
      <w:r w:rsidR="00153F93" w:rsidRPr="00153F93">
        <w:rPr>
          <w:rFonts w:asciiTheme="minorHAnsi" w:eastAsiaTheme="minorHAnsi" w:hAnsiTheme="minorHAnsi" w:cstheme="minorBidi"/>
          <w:sz w:val="20"/>
          <w:szCs w:val="20"/>
          <w:lang w:eastAsia="en-US"/>
        </w:rPr>
        <w:t>Keysight Technologies, Rohde &amp; Schwarz, Anritsu, Qualcomm, PCTEST Engineering Lab</w:t>
      </w:r>
      <w:r w:rsidRPr="00CF1BD3">
        <w:rPr>
          <w:rFonts w:asciiTheme="minorHAnsi" w:eastAsiaTheme="minorHAnsi" w:hAnsiTheme="minorHAnsi" w:cstheme="minorBidi"/>
          <w:sz w:val="20"/>
          <w:szCs w:val="20"/>
          <w:lang w:eastAsia="en-US"/>
        </w:rPr>
        <w:t xml:space="preserve">, </w:t>
      </w:r>
      <w:r w:rsidRPr="00D40AC7">
        <w:rPr>
          <w:rFonts w:asciiTheme="minorHAnsi" w:eastAsiaTheme="minorHAnsi" w:hAnsiTheme="minorHAnsi" w:cstheme="minorBidi"/>
          <w:sz w:val="20"/>
          <w:szCs w:val="20"/>
          <w:lang w:eastAsia="en-US"/>
        </w:rPr>
        <w:t>3GPP TSG RAN</w:t>
      </w:r>
      <w:r w:rsidR="00A226C0" w:rsidRPr="00D40AC7">
        <w:rPr>
          <w:rFonts w:asciiTheme="minorHAnsi" w:eastAsiaTheme="minorHAnsi" w:hAnsiTheme="minorHAnsi" w:cstheme="minorBidi"/>
          <w:sz w:val="20"/>
          <w:szCs w:val="20"/>
          <w:lang w:eastAsia="en-US"/>
        </w:rPr>
        <w:t xml:space="preserve"> WG</w:t>
      </w:r>
      <w:r w:rsidRPr="00D40AC7">
        <w:rPr>
          <w:rFonts w:asciiTheme="minorHAnsi" w:eastAsiaTheme="minorHAnsi" w:hAnsiTheme="minorHAnsi" w:cstheme="minorBidi"/>
          <w:sz w:val="20"/>
          <w:szCs w:val="20"/>
          <w:lang w:eastAsia="en-US"/>
        </w:rPr>
        <w:t>5 #</w:t>
      </w:r>
      <w:r w:rsidR="00153F93">
        <w:rPr>
          <w:rFonts w:asciiTheme="minorHAnsi" w:eastAsiaTheme="minorHAnsi" w:hAnsiTheme="minorHAnsi" w:cstheme="minorBidi"/>
          <w:sz w:val="20"/>
          <w:szCs w:val="20"/>
          <w:lang w:eastAsia="en-US"/>
        </w:rPr>
        <w:t>83</w:t>
      </w:r>
      <w:r w:rsidRPr="00D40AC7">
        <w:rPr>
          <w:rFonts w:asciiTheme="minorHAnsi" w:eastAsiaTheme="minorHAnsi" w:hAnsiTheme="minorHAnsi" w:cstheme="minorBidi"/>
          <w:sz w:val="20"/>
          <w:szCs w:val="20"/>
          <w:lang w:eastAsia="en-US"/>
        </w:rPr>
        <w:t xml:space="preserve">, </w:t>
      </w:r>
      <w:r w:rsidR="00153F93">
        <w:rPr>
          <w:rFonts w:asciiTheme="minorHAnsi" w:eastAsiaTheme="minorHAnsi" w:hAnsiTheme="minorHAnsi" w:cstheme="minorBidi"/>
          <w:sz w:val="20"/>
          <w:szCs w:val="20"/>
          <w:lang w:eastAsia="en-US"/>
        </w:rPr>
        <w:t>May</w:t>
      </w:r>
      <w:r w:rsidRPr="00D40AC7">
        <w:rPr>
          <w:rFonts w:asciiTheme="minorHAnsi" w:eastAsiaTheme="minorHAnsi" w:hAnsiTheme="minorHAnsi" w:cstheme="minorBidi"/>
          <w:sz w:val="20"/>
          <w:szCs w:val="20"/>
          <w:lang w:eastAsia="en-US"/>
        </w:rPr>
        <w:t xml:space="preserve"> 2019</w:t>
      </w:r>
    </w:p>
    <w:p w14:paraId="00D85F30" w14:textId="0C725131" w:rsidR="00153F93" w:rsidRDefault="00153F93" w:rsidP="00153F93">
      <w:pPr>
        <w:numPr>
          <w:ilvl w:val="0"/>
          <w:numId w:val="4"/>
        </w:numPr>
        <w:tabs>
          <w:tab w:val="left" w:pos="425"/>
        </w:tabs>
        <w:spacing w:after="0" w:line="240" w:lineRule="auto"/>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TS 36.521-1, V16.1.0, 3GPP TSG RAN WG5</w:t>
      </w:r>
      <w:r w:rsidRPr="00037AB8">
        <w:rPr>
          <w:rFonts w:asciiTheme="minorHAnsi" w:eastAsiaTheme="minorHAnsi" w:hAnsiTheme="minorHAnsi" w:cstheme="minorBidi"/>
          <w:sz w:val="20"/>
          <w:szCs w:val="20"/>
          <w:lang w:eastAsia="en-US"/>
        </w:rPr>
        <w:t xml:space="preserve">, </w:t>
      </w:r>
      <w:r>
        <w:rPr>
          <w:rFonts w:asciiTheme="minorHAnsi" w:eastAsiaTheme="minorHAnsi" w:hAnsiTheme="minorHAnsi" w:cstheme="minorBidi"/>
          <w:sz w:val="20"/>
          <w:szCs w:val="20"/>
          <w:lang w:eastAsia="en-US"/>
        </w:rPr>
        <w:t>June 2019</w:t>
      </w:r>
    </w:p>
    <w:p w14:paraId="3B99666D" w14:textId="1D252D08" w:rsidR="00153F93" w:rsidRDefault="00F82D42" w:rsidP="00153F93">
      <w:pPr>
        <w:numPr>
          <w:ilvl w:val="0"/>
          <w:numId w:val="4"/>
        </w:numPr>
        <w:tabs>
          <w:tab w:val="left" w:pos="425"/>
        </w:tabs>
        <w:spacing w:after="0" w:line="240" w:lineRule="auto"/>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TR 37.977, V15.0.0, 3GPP TSG RAN WG4, September 2018</w:t>
      </w:r>
    </w:p>
    <w:p w14:paraId="4748C4F5" w14:textId="176756E1" w:rsidR="00F82D42" w:rsidRPr="00CF1BD3" w:rsidRDefault="00F82D42" w:rsidP="00F82D42">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F82D42">
        <w:rPr>
          <w:rFonts w:asciiTheme="minorHAnsi" w:eastAsiaTheme="minorHAnsi" w:hAnsiTheme="minorHAnsi" w:cstheme="minorBidi"/>
          <w:sz w:val="20"/>
          <w:szCs w:val="20"/>
          <w:lang w:eastAsia="en-US"/>
        </w:rPr>
        <w:t>Test Plan for 2x2 Downlink MIMO and Transmit Diversity Over-the-Air Performance</w:t>
      </w:r>
      <w:r>
        <w:rPr>
          <w:rFonts w:asciiTheme="minorHAnsi" w:eastAsiaTheme="minorHAnsi" w:hAnsiTheme="minorHAnsi" w:cstheme="minorBidi"/>
          <w:sz w:val="20"/>
          <w:szCs w:val="20"/>
          <w:lang w:eastAsia="en-US"/>
        </w:rPr>
        <w:t>, V1.2, CTIA, April 2018</w:t>
      </w:r>
    </w:p>
    <w:p w14:paraId="45B515AA" w14:textId="266B2316" w:rsidR="00BB274E"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w:t>
      </w:r>
      <w:r w:rsidR="00834163">
        <w:rPr>
          <w:rFonts w:asciiTheme="minorHAnsi" w:eastAsiaTheme="minorHAnsi" w:hAnsiTheme="minorHAnsi" w:cstheme="minorBidi"/>
          <w:sz w:val="20"/>
          <w:szCs w:val="20"/>
          <w:lang w:eastAsia="en-US"/>
        </w:rPr>
        <w:t>R</w:t>
      </w:r>
      <w:r w:rsidR="005E31AA" w:rsidRPr="00037AB8">
        <w:rPr>
          <w:rFonts w:asciiTheme="minorHAnsi" w:eastAsiaTheme="minorHAnsi" w:hAnsiTheme="minorHAnsi" w:cstheme="minorBidi"/>
          <w:sz w:val="20"/>
          <w:szCs w:val="20"/>
          <w:lang w:eastAsia="en-US"/>
        </w:rPr>
        <w:t xml:space="preserve"> </w:t>
      </w:r>
      <w:r w:rsidRPr="00037AB8">
        <w:rPr>
          <w:rFonts w:asciiTheme="minorHAnsi" w:eastAsiaTheme="minorHAnsi" w:hAnsiTheme="minorHAnsi" w:cstheme="minorBidi"/>
          <w:sz w:val="20"/>
          <w:szCs w:val="20"/>
          <w:lang w:eastAsia="en-US"/>
        </w:rPr>
        <w:t>38.</w:t>
      </w:r>
      <w:r w:rsidR="004D37F1">
        <w:rPr>
          <w:rFonts w:asciiTheme="minorHAnsi" w:eastAsiaTheme="minorHAnsi" w:hAnsiTheme="minorHAnsi" w:cstheme="minorBidi"/>
          <w:sz w:val="20"/>
          <w:szCs w:val="20"/>
          <w:lang w:eastAsia="en-US"/>
        </w:rPr>
        <w:t>903</w:t>
      </w:r>
      <w:r w:rsidR="00F82D42">
        <w:rPr>
          <w:rFonts w:asciiTheme="minorHAnsi" w:eastAsiaTheme="minorHAnsi" w:hAnsiTheme="minorHAnsi" w:cstheme="minorBidi"/>
          <w:sz w:val="20"/>
          <w:szCs w:val="20"/>
          <w:lang w:eastAsia="en-US"/>
        </w:rPr>
        <w:t>, V16</w:t>
      </w:r>
      <w:r w:rsidRPr="00037AB8">
        <w:rPr>
          <w:rFonts w:asciiTheme="minorHAnsi" w:eastAsiaTheme="minorHAnsi" w:hAnsiTheme="minorHAnsi" w:cstheme="minorBidi"/>
          <w:sz w:val="20"/>
          <w:szCs w:val="20"/>
          <w:lang w:eastAsia="en-US"/>
        </w:rPr>
        <w:t>.</w:t>
      </w:r>
      <w:r w:rsidR="00F82D42">
        <w:rPr>
          <w:rFonts w:asciiTheme="minorHAnsi" w:eastAsiaTheme="minorHAnsi" w:hAnsiTheme="minorHAnsi" w:cstheme="minorBidi"/>
          <w:sz w:val="20"/>
          <w:szCs w:val="20"/>
          <w:lang w:eastAsia="en-US"/>
        </w:rPr>
        <w:t>0</w:t>
      </w:r>
      <w:r w:rsidR="004D37F1">
        <w:rPr>
          <w:rFonts w:asciiTheme="minorHAnsi" w:eastAsiaTheme="minorHAnsi" w:hAnsiTheme="minorHAnsi" w:cstheme="minorBidi"/>
          <w:sz w:val="20"/>
          <w:szCs w:val="20"/>
          <w:lang w:eastAsia="en-US"/>
        </w:rPr>
        <w:t>.0, 3GPP TSG RAN WG5</w:t>
      </w:r>
      <w:r w:rsidRPr="00037AB8">
        <w:rPr>
          <w:rFonts w:asciiTheme="minorHAnsi" w:eastAsiaTheme="minorHAnsi" w:hAnsiTheme="minorHAnsi" w:cstheme="minorBidi"/>
          <w:sz w:val="20"/>
          <w:szCs w:val="20"/>
          <w:lang w:eastAsia="en-US"/>
        </w:rPr>
        <w:t xml:space="preserve">, </w:t>
      </w:r>
      <w:r w:rsidR="00F82D42">
        <w:rPr>
          <w:rFonts w:asciiTheme="minorHAnsi" w:eastAsiaTheme="minorHAnsi" w:hAnsiTheme="minorHAnsi" w:cstheme="minorBidi"/>
          <w:sz w:val="20"/>
          <w:szCs w:val="20"/>
          <w:lang w:eastAsia="en-US"/>
        </w:rPr>
        <w:t>June</w:t>
      </w:r>
      <w:r w:rsidR="004D37F1">
        <w:rPr>
          <w:rFonts w:asciiTheme="minorHAnsi" w:eastAsiaTheme="minorHAnsi" w:hAnsiTheme="minorHAnsi" w:cstheme="minorBidi"/>
          <w:sz w:val="20"/>
          <w:szCs w:val="20"/>
          <w:lang w:eastAsia="en-US"/>
        </w:rPr>
        <w:t xml:space="preserve"> 2019</w:t>
      </w:r>
      <w:bookmarkEnd w:id="4"/>
      <w:bookmarkEnd w:id="5"/>
      <w:bookmarkEnd w:id="6"/>
      <w:bookmarkEnd w:id="7"/>
    </w:p>
    <w:p w14:paraId="322CDC94" w14:textId="37CFA519" w:rsidR="00153F93" w:rsidRDefault="00153F93" w:rsidP="00153F93">
      <w:pPr>
        <w:tabs>
          <w:tab w:val="left" w:pos="425"/>
        </w:tabs>
        <w:spacing w:after="0" w:line="240" w:lineRule="auto"/>
        <w:rPr>
          <w:rFonts w:asciiTheme="minorHAnsi" w:eastAsiaTheme="minorHAnsi" w:hAnsiTheme="minorHAnsi" w:cstheme="minorBidi"/>
          <w:sz w:val="20"/>
          <w:szCs w:val="20"/>
          <w:lang w:eastAsia="en-US"/>
        </w:rPr>
      </w:pPr>
    </w:p>
    <w:sectPr w:rsidR="00153F93"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2E383" w14:textId="77777777" w:rsidR="006F63E4" w:rsidRDefault="006F63E4" w:rsidP="00371D7D">
      <w:r>
        <w:separator/>
      </w:r>
    </w:p>
  </w:endnote>
  <w:endnote w:type="continuationSeparator" w:id="0">
    <w:p w14:paraId="4962663F" w14:textId="77777777" w:rsidR="006F63E4" w:rsidRDefault="006F63E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6BB9F9E"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52660">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4C33A" w14:textId="77777777" w:rsidR="006F63E4" w:rsidRDefault="006F63E4" w:rsidP="00371D7D">
      <w:r>
        <w:separator/>
      </w:r>
    </w:p>
  </w:footnote>
  <w:footnote w:type="continuationSeparator" w:id="0">
    <w:p w14:paraId="19486C71" w14:textId="77777777" w:rsidR="006F63E4" w:rsidRDefault="006F63E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20968"/>
    <w:multiLevelType w:val="hybridMultilevel"/>
    <w:tmpl w:val="4364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B7D14"/>
    <w:multiLevelType w:val="hybridMultilevel"/>
    <w:tmpl w:val="542A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2578F7"/>
    <w:multiLevelType w:val="hybridMultilevel"/>
    <w:tmpl w:val="D3C0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7"/>
  </w:num>
  <w:num w:numId="3">
    <w:abstractNumId w:val="3"/>
  </w:num>
  <w:num w:numId="4">
    <w:abstractNumId w:val="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 w:numId="7">
    <w:abstractNumId w:val="1"/>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4DA5"/>
    <w:rsid w:val="00025D21"/>
    <w:rsid w:val="00026AE7"/>
    <w:rsid w:val="000304B0"/>
    <w:rsid w:val="00030A7F"/>
    <w:rsid w:val="00030EFF"/>
    <w:rsid w:val="00032AC4"/>
    <w:rsid w:val="000357C4"/>
    <w:rsid w:val="00036082"/>
    <w:rsid w:val="00036A64"/>
    <w:rsid w:val="00037AB8"/>
    <w:rsid w:val="00037F59"/>
    <w:rsid w:val="000402B6"/>
    <w:rsid w:val="00040F64"/>
    <w:rsid w:val="00043C77"/>
    <w:rsid w:val="00044187"/>
    <w:rsid w:val="0004547C"/>
    <w:rsid w:val="00045894"/>
    <w:rsid w:val="00047428"/>
    <w:rsid w:val="00047E75"/>
    <w:rsid w:val="00052708"/>
    <w:rsid w:val="0006221F"/>
    <w:rsid w:val="00062ECE"/>
    <w:rsid w:val="0006381C"/>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B9C"/>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5708"/>
    <w:rsid w:val="00126CE6"/>
    <w:rsid w:val="001315AB"/>
    <w:rsid w:val="00132BDD"/>
    <w:rsid w:val="001339FF"/>
    <w:rsid w:val="001378A7"/>
    <w:rsid w:val="0014085E"/>
    <w:rsid w:val="00142732"/>
    <w:rsid w:val="0014530C"/>
    <w:rsid w:val="0015068F"/>
    <w:rsid w:val="00152013"/>
    <w:rsid w:val="00152660"/>
    <w:rsid w:val="001530C0"/>
    <w:rsid w:val="00153604"/>
    <w:rsid w:val="00153F93"/>
    <w:rsid w:val="001553DE"/>
    <w:rsid w:val="0015562C"/>
    <w:rsid w:val="0015692F"/>
    <w:rsid w:val="0016379A"/>
    <w:rsid w:val="00164040"/>
    <w:rsid w:val="00167CAD"/>
    <w:rsid w:val="00167FB4"/>
    <w:rsid w:val="0017275D"/>
    <w:rsid w:val="00172D17"/>
    <w:rsid w:val="001747B0"/>
    <w:rsid w:val="00174ED5"/>
    <w:rsid w:val="00176658"/>
    <w:rsid w:val="00176791"/>
    <w:rsid w:val="00177009"/>
    <w:rsid w:val="00180494"/>
    <w:rsid w:val="001810A2"/>
    <w:rsid w:val="00184003"/>
    <w:rsid w:val="00193A32"/>
    <w:rsid w:val="001950D6"/>
    <w:rsid w:val="00197F8E"/>
    <w:rsid w:val="001A042A"/>
    <w:rsid w:val="001A2E0D"/>
    <w:rsid w:val="001B0670"/>
    <w:rsid w:val="001B0742"/>
    <w:rsid w:val="001B137F"/>
    <w:rsid w:val="001B2191"/>
    <w:rsid w:val="001B3AD9"/>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6DC9"/>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295C"/>
    <w:rsid w:val="002B2C80"/>
    <w:rsid w:val="002B3C4B"/>
    <w:rsid w:val="002B5523"/>
    <w:rsid w:val="002B5708"/>
    <w:rsid w:val="002B5F65"/>
    <w:rsid w:val="002B7900"/>
    <w:rsid w:val="002C098B"/>
    <w:rsid w:val="002C3A4F"/>
    <w:rsid w:val="002C48E9"/>
    <w:rsid w:val="002C64D8"/>
    <w:rsid w:val="002C75A4"/>
    <w:rsid w:val="002D0A92"/>
    <w:rsid w:val="002D0C60"/>
    <w:rsid w:val="002D394E"/>
    <w:rsid w:val="002D5691"/>
    <w:rsid w:val="002E0D1B"/>
    <w:rsid w:val="002E1075"/>
    <w:rsid w:val="002E3CF0"/>
    <w:rsid w:val="002E434E"/>
    <w:rsid w:val="002E4E69"/>
    <w:rsid w:val="002E74E5"/>
    <w:rsid w:val="002F1A84"/>
    <w:rsid w:val="002F26C4"/>
    <w:rsid w:val="002F27E0"/>
    <w:rsid w:val="002F3517"/>
    <w:rsid w:val="002F3C5C"/>
    <w:rsid w:val="002F5049"/>
    <w:rsid w:val="002F5D64"/>
    <w:rsid w:val="002F6CC0"/>
    <w:rsid w:val="003013B7"/>
    <w:rsid w:val="00305C89"/>
    <w:rsid w:val="00305D94"/>
    <w:rsid w:val="00306245"/>
    <w:rsid w:val="003112E8"/>
    <w:rsid w:val="0031299F"/>
    <w:rsid w:val="00312CFD"/>
    <w:rsid w:val="00315F9F"/>
    <w:rsid w:val="00316376"/>
    <w:rsid w:val="00316F3F"/>
    <w:rsid w:val="003200D8"/>
    <w:rsid w:val="00320EFD"/>
    <w:rsid w:val="003242AC"/>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4D92"/>
    <w:rsid w:val="00397E2F"/>
    <w:rsid w:val="003A16D1"/>
    <w:rsid w:val="003A1D27"/>
    <w:rsid w:val="003A2E3B"/>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3F7FB7"/>
    <w:rsid w:val="004002C9"/>
    <w:rsid w:val="004033E9"/>
    <w:rsid w:val="004110D3"/>
    <w:rsid w:val="004120AE"/>
    <w:rsid w:val="004137F2"/>
    <w:rsid w:val="004149E9"/>
    <w:rsid w:val="00420D58"/>
    <w:rsid w:val="00423201"/>
    <w:rsid w:val="004238C0"/>
    <w:rsid w:val="004250F5"/>
    <w:rsid w:val="0042532C"/>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524"/>
    <w:rsid w:val="00475793"/>
    <w:rsid w:val="00477362"/>
    <w:rsid w:val="00477BB8"/>
    <w:rsid w:val="00480E62"/>
    <w:rsid w:val="00481B3C"/>
    <w:rsid w:val="004858E1"/>
    <w:rsid w:val="0048673D"/>
    <w:rsid w:val="00487AF1"/>
    <w:rsid w:val="00487FC3"/>
    <w:rsid w:val="0049136F"/>
    <w:rsid w:val="004914EC"/>
    <w:rsid w:val="00491A62"/>
    <w:rsid w:val="00492977"/>
    <w:rsid w:val="0049310F"/>
    <w:rsid w:val="0049394D"/>
    <w:rsid w:val="00493E67"/>
    <w:rsid w:val="00493FA6"/>
    <w:rsid w:val="00495CBA"/>
    <w:rsid w:val="00497700"/>
    <w:rsid w:val="004A04A5"/>
    <w:rsid w:val="004A2F58"/>
    <w:rsid w:val="004A3D93"/>
    <w:rsid w:val="004A4033"/>
    <w:rsid w:val="004A5815"/>
    <w:rsid w:val="004A60F7"/>
    <w:rsid w:val="004A79DF"/>
    <w:rsid w:val="004B0619"/>
    <w:rsid w:val="004B0EE9"/>
    <w:rsid w:val="004B4C96"/>
    <w:rsid w:val="004C0DA4"/>
    <w:rsid w:val="004C0EA3"/>
    <w:rsid w:val="004C6EB0"/>
    <w:rsid w:val="004D0D9B"/>
    <w:rsid w:val="004D1D11"/>
    <w:rsid w:val="004D2DCF"/>
    <w:rsid w:val="004D304D"/>
    <w:rsid w:val="004D37F1"/>
    <w:rsid w:val="004D54FF"/>
    <w:rsid w:val="004D74F3"/>
    <w:rsid w:val="004E02C2"/>
    <w:rsid w:val="004E1ED2"/>
    <w:rsid w:val="004E2925"/>
    <w:rsid w:val="004E3358"/>
    <w:rsid w:val="004E3BCC"/>
    <w:rsid w:val="004E4518"/>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540"/>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0F47"/>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0DD"/>
    <w:rsid w:val="005D36C5"/>
    <w:rsid w:val="005D37FD"/>
    <w:rsid w:val="005D3C2A"/>
    <w:rsid w:val="005D4744"/>
    <w:rsid w:val="005D4B7F"/>
    <w:rsid w:val="005D5F80"/>
    <w:rsid w:val="005E31AA"/>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2239"/>
    <w:rsid w:val="0062354F"/>
    <w:rsid w:val="00626288"/>
    <w:rsid w:val="00627053"/>
    <w:rsid w:val="00630334"/>
    <w:rsid w:val="0063042E"/>
    <w:rsid w:val="00632987"/>
    <w:rsid w:val="0063332F"/>
    <w:rsid w:val="00633773"/>
    <w:rsid w:val="0063395B"/>
    <w:rsid w:val="00634D07"/>
    <w:rsid w:val="00635940"/>
    <w:rsid w:val="006366AD"/>
    <w:rsid w:val="00640E01"/>
    <w:rsid w:val="00641EC6"/>
    <w:rsid w:val="00645237"/>
    <w:rsid w:val="006466C9"/>
    <w:rsid w:val="00647310"/>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369"/>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E02"/>
    <w:rsid w:val="006D3FD0"/>
    <w:rsid w:val="006D46B5"/>
    <w:rsid w:val="006D5ED1"/>
    <w:rsid w:val="006E03D4"/>
    <w:rsid w:val="006E1A7C"/>
    <w:rsid w:val="006E1D64"/>
    <w:rsid w:val="006E4F64"/>
    <w:rsid w:val="006E5BCE"/>
    <w:rsid w:val="006E6577"/>
    <w:rsid w:val="006E7C54"/>
    <w:rsid w:val="006F1D3A"/>
    <w:rsid w:val="006F2C16"/>
    <w:rsid w:val="006F4D66"/>
    <w:rsid w:val="006F563A"/>
    <w:rsid w:val="006F63E4"/>
    <w:rsid w:val="006F73CF"/>
    <w:rsid w:val="006F7C37"/>
    <w:rsid w:val="0070104D"/>
    <w:rsid w:val="00701F0E"/>
    <w:rsid w:val="00704881"/>
    <w:rsid w:val="00705286"/>
    <w:rsid w:val="00706CB9"/>
    <w:rsid w:val="00707FFC"/>
    <w:rsid w:val="00712BF6"/>
    <w:rsid w:val="00712C12"/>
    <w:rsid w:val="007132D5"/>
    <w:rsid w:val="00713351"/>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4C82"/>
    <w:rsid w:val="00765F55"/>
    <w:rsid w:val="007706D0"/>
    <w:rsid w:val="00773BDA"/>
    <w:rsid w:val="00773C96"/>
    <w:rsid w:val="00773DCA"/>
    <w:rsid w:val="007742E7"/>
    <w:rsid w:val="00776D6B"/>
    <w:rsid w:val="00780B7D"/>
    <w:rsid w:val="00780E10"/>
    <w:rsid w:val="007820D2"/>
    <w:rsid w:val="007827F7"/>
    <w:rsid w:val="007842C7"/>
    <w:rsid w:val="0079136A"/>
    <w:rsid w:val="007927C1"/>
    <w:rsid w:val="00793EA4"/>
    <w:rsid w:val="007944C3"/>
    <w:rsid w:val="00795FCE"/>
    <w:rsid w:val="0079656C"/>
    <w:rsid w:val="00797969"/>
    <w:rsid w:val="007A1300"/>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2D3F"/>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0312"/>
    <w:rsid w:val="00811A7C"/>
    <w:rsid w:val="008146B9"/>
    <w:rsid w:val="00814716"/>
    <w:rsid w:val="00815718"/>
    <w:rsid w:val="008159B1"/>
    <w:rsid w:val="008211B6"/>
    <w:rsid w:val="008222DF"/>
    <w:rsid w:val="00825388"/>
    <w:rsid w:val="00825E45"/>
    <w:rsid w:val="0083066A"/>
    <w:rsid w:val="00831E58"/>
    <w:rsid w:val="00834163"/>
    <w:rsid w:val="0083554F"/>
    <w:rsid w:val="00836315"/>
    <w:rsid w:val="00836CE0"/>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5846"/>
    <w:rsid w:val="008B7827"/>
    <w:rsid w:val="008B7853"/>
    <w:rsid w:val="008C1017"/>
    <w:rsid w:val="008C2395"/>
    <w:rsid w:val="008C291E"/>
    <w:rsid w:val="008C2C73"/>
    <w:rsid w:val="008C3C49"/>
    <w:rsid w:val="008C41D6"/>
    <w:rsid w:val="008C6603"/>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47DB"/>
    <w:rsid w:val="00916784"/>
    <w:rsid w:val="00916934"/>
    <w:rsid w:val="00917E2E"/>
    <w:rsid w:val="00920F66"/>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7B91"/>
    <w:rsid w:val="00950962"/>
    <w:rsid w:val="00952B8A"/>
    <w:rsid w:val="0095468A"/>
    <w:rsid w:val="0095562A"/>
    <w:rsid w:val="00962E59"/>
    <w:rsid w:val="00963C9B"/>
    <w:rsid w:val="00965D58"/>
    <w:rsid w:val="00966AFB"/>
    <w:rsid w:val="00966DAC"/>
    <w:rsid w:val="00966E9B"/>
    <w:rsid w:val="009750F0"/>
    <w:rsid w:val="0097543A"/>
    <w:rsid w:val="00975650"/>
    <w:rsid w:val="00975F20"/>
    <w:rsid w:val="00976B03"/>
    <w:rsid w:val="00981948"/>
    <w:rsid w:val="009833B0"/>
    <w:rsid w:val="00984C8B"/>
    <w:rsid w:val="009863CE"/>
    <w:rsid w:val="00987740"/>
    <w:rsid w:val="00987C1F"/>
    <w:rsid w:val="009926B6"/>
    <w:rsid w:val="009943F3"/>
    <w:rsid w:val="0099496E"/>
    <w:rsid w:val="009955B7"/>
    <w:rsid w:val="00997680"/>
    <w:rsid w:val="00997FE5"/>
    <w:rsid w:val="009A1270"/>
    <w:rsid w:val="009A246E"/>
    <w:rsid w:val="009A47BB"/>
    <w:rsid w:val="009B1044"/>
    <w:rsid w:val="009B186D"/>
    <w:rsid w:val="009B225E"/>
    <w:rsid w:val="009B26CA"/>
    <w:rsid w:val="009B3EA0"/>
    <w:rsid w:val="009C0CB9"/>
    <w:rsid w:val="009C2950"/>
    <w:rsid w:val="009C4B66"/>
    <w:rsid w:val="009C51E1"/>
    <w:rsid w:val="009C536C"/>
    <w:rsid w:val="009C5C15"/>
    <w:rsid w:val="009C6FFB"/>
    <w:rsid w:val="009D2231"/>
    <w:rsid w:val="009D2BA6"/>
    <w:rsid w:val="009D3030"/>
    <w:rsid w:val="009D35E8"/>
    <w:rsid w:val="009D3C74"/>
    <w:rsid w:val="009D52EB"/>
    <w:rsid w:val="009D580B"/>
    <w:rsid w:val="009D6EF8"/>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26C0"/>
    <w:rsid w:val="00A236DD"/>
    <w:rsid w:val="00A24150"/>
    <w:rsid w:val="00A32070"/>
    <w:rsid w:val="00A33A08"/>
    <w:rsid w:val="00A33D3A"/>
    <w:rsid w:val="00A353DC"/>
    <w:rsid w:val="00A40BA0"/>
    <w:rsid w:val="00A42596"/>
    <w:rsid w:val="00A43DCF"/>
    <w:rsid w:val="00A44C02"/>
    <w:rsid w:val="00A4537F"/>
    <w:rsid w:val="00A55AF2"/>
    <w:rsid w:val="00A561C1"/>
    <w:rsid w:val="00A57C7C"/>
    <w:rsid w:val="00A60934"/>
    <w:rsid w:val="00A62362"/>
    <w:rsid w:val="00A62817"/>
    <w:rsid w:val="00A63A28"/>
    <w:rsid w:val="00A63C08"/>
    <w:rsid w:val="00A64C86"/>
    <w:rsid w:val="00A67985"/>
    <w:rsid w:val="00A6798F"/>
    <w:rsid w:val="00A717D1"/>
    <w:rsid w:val="00A71918"/>
    <w:rsid w:val="00A7325E"/>
    <w:rsid w:val="00A73DB3"/>
    <w:rsid w:val="00A73DEC"/>
    <w:rsid w:val="00A76246"/>
    <w:rsid w:val="00A76DBE"/>
    <w:rsid w:val="00A76DEB"/>
    <w:rsid w:val="00A777EC"/>
    <w:rsid w:val="00A802ED"/>
    <w:rsid w:val="00A8281C"/>
    <w:rsid w:val="00A8311E"/>
    <w:rsid w:val="00A83A48"/>
    <w:rsid w:val="00A87C7B"/>
    <w:rsid w:val="00A91B6E"/>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1494"/>
    <w:rsid w:val="00AD2B85"/>
    <w:rsid w:val="00AE18A0"/>
    <w:rsid w:val="00AE376A"/>
    <w:rsid w:val="00AE3E63"/>
    <w:rsid w:val="00AE4566"/>
    <w:rsid w:val="00AF0048"/>
    <w:rsid w:val="00AF2B58"/>
    <w:rsid w:val="00AF3ECB"/>
    <w:rsid w:val="00AF4D77"/>
    <w:rsid w:val="00AF60AE"/>
    <w:rsid w:val="00AF6DBB"/>
    <w:rsid w:val="00B012FF"/>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418C"/>
    <w:rsid w:val="00B4703A"/>
    <w:rsid w:val="00B50A51"/>
    <w:rsid w:val="00B548F0"/>
    <w:rsid w:val="00B55C47"/>
    <w:rsid w:val="00B57FE5"/>
    <w:rsid w:val="00B60110"/>
    <w:rsid w:val="00B61206"/>
    <w:rsid w:val="00B618F7"/>
    <w:rsid w:val="00B6395C"/>
    <w:rsid w:val="00B65660"/>
    <w:rsid w:val="00B65A28"/>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5A2"/>
    <w:rsid w:val="00BD6319"/>
    <w:rsid w:val="00BD73CC"/>
    <w:rsid w:val="00BD79E1"/>
    <w:rsid w:val="00BE29DD"/>
    <w:rsid w:val="00BE51E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47C1B"/>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13E"/>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1BD3"/>
    <w:rsid w:val="00CF23C9"/>
    <w:rsid w:val="00CF3ECE"/>
    <w:rsid w:val="00CF41D2"/>
    <w:rsid w:val="00D0035A"/>
    <w:rsid w:val="00D00445"/>
    <w:rsid w:val="00D02305"/>
    <w:rsid w:val="00D041C2"/>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0AC7"/>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3480"/>
    <w:rsid w:val="00DA3D17"/>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2D"/>
    <w:rsid w:val="00DD1B9D"/>
    <w:rsid w:val="00DD524F"/>
    <w:rsid w:val="00DD6E41"/>
    <w:rsid w:val="00DD74FF"/>
    <w:rsid w:val="00DE3025"/>
    <w:rsid w:val="00DE4E25"/>
    <w:rsid w:val="00DE6819"/>
    <w:rsid w:val="00DE6CE9"/>
    <w:rsid w:val="00DF11A3"/>
    <w:rsid w:val="00DF19E8"/>
    <w:rsid w:val="00DF443F"/>
    <w:rsid w:val="00DF5A00"/>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0DA6"/>
    <w:rsid w:val="00E32C7A"/>
    <w:rsid w:val="00E33028"/>
    <w:rsid w:val="00E34070"/>
    <w:rsid w:val="00E35411"/>
    <w:rsid w:val="00E35ACC"/>
    <w:rsid w:val="00E37E67"/>
    <w:rsid w:val="00E4048A"/>
    <w:rsid w:val="00E4082E"/>
    <w:rsid w:val="00E408CF"/>
    <w:rsid w:val="00E41569"/>
    <w:rsid w:val="00E41929"/>
    <w:rsid w:val="00E42128"/>
    <w:rsid w:val="00E430A2"/>
    <w:rsid w:val="00E446E8"/>
    <w:rsid w:val="00E45AA7"/>
    <w:rsid w:val="00E50120"/>
    <w:rsid w:val="00E512D5"/>
    <w:rsid w:val="00E51BAD"/>
    <w:rsid w:val="00E52860"/>
    <w:rsid w:val="00E52D1B"/>
    <w:rsid w:val="00E5457D"/>
    <w:rsid w:val="00E56502"/>
    <w:rsid w:val="00E617F3"/>
    <w:rsid w:val="00E61903"/>
    <w:rsid w:val="00E65164"/>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D78C3"/>
    <w:rsid w:val="00EE0AC3"/>
    <w:rsid w:val="00EE0D98"/>
    <w:rsid w:val="00EE17A9"/>
    <w:rsid w:val="00EE17D7"/>
    <w:rsid w:val="00EE2405"/>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07B2"/>
    <w:rsid w:val="00F12AF0"/>
    <w:rsid w:val="00F152C6"/>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3307"/>
    <w:rsid w:val="00F54C48"/>
    <w:rsid w:val="00F56AA6"/>
    <w:rsid w:val="00F611E0"/>
    <w:rsid w:val="00F619BC"/>
    <w:rsid w:val="00F65070"/>
    <w:rsid w:val="00F651F2"/>
    <w:rsid w:val="00F667D6"/>
    <w:rsid w:val="00F678D1"/>
    <w:rsid w:val="00F700B9"/>
    <w:rsid w:val="00F71811"/>
    <w:rsid w:val="00F747A8"/>
    <w:rsid w:val="00F7720E"/>
    <w:rsid w:val="00F81859"/>
    <w:rsid w:val="00F82D42"/>
    <w:rsid w:val="00F85F78"/>
    <w:rsid w:val="00F86B37"/>
    <w:rsid w:val="00F90336"/>
    <w:rsid w:val="00F92924"/>
    <w:rsid w:val="00F92DD8"/>
    <w:rsid w:val="00F957A4"/>
    <w:rsid w:val="00F95D29"/>
    <w:rsid w:val="00F971F1"/>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3EF"/>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
    <w:name w:val="Default"/>
    <w:rsid w:val="00177009"/>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48095">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35112644">
      <w:bodyDiv w:val="1"/>
      <w:marLeft w:val="0"/>
      <w:marRight w:val="0"/>
      <w:marTop w:val="0"/>
      <w:marBottom w:val="0"/>
      <w:divBdr>
        <w:top w:val="none" w:sz="0" w:space="0" w:color="auto"/>
        <w:left w:val="none" w:sz="0" w:space="0" w:color="auto"/>
        <w:bottom w:val="none" w:sz="0" w:space="0" w:color="auto"/>
        <w:right w:val="none" w:sz="0" w:space="0" w:color="auto"/>
      </w:divBdr>
    </w:div>
    <w:div w:id="398673855">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89122485">
      <w:bodyDiv w:val="1"/>
      <w:marLeft w:val="0"/>
      <w:marRight w:val="0"/>
      <w:marTop w:val="0"/>
      <w:marBottom w:val="0"/>
      <w:divBdr>
        <w:top w:val="none" w:sz="0" w:space="0" w:color="auto"/>
        <w:left w:val="none" w:sz="0" w:space="0" w:color="auto"/>
        <w:bottom w:val="none" w:sz="0" w:space="0" w:color="auto"/>
        <w:right w:val="none" w:sz="0" w:space="0" w:color="auto"/>
      </w:divBdr>
    </w:div>
    <w:div w:id="139562165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47831160">
      <w:bodyDiv w:val="1"/>
      <w:marLeft w:val="0"/>
      <w:marRight w:val="0"/>
      <w:marTop w:val="0"/>
      <w:marBottom w:val="0"/>
      <w:divBdr>
        <w:top w:val="none" w:sz="0" w:space="0" w:color="auto"/>
        <w:left w:val="none" w:sz="0" w:space="0" w:color="auto"/>
        <w:bottom w:val="none" w:sz="0" w:space="0" w:color="auto"/>
        <w:right w:val="none" w:sz="0" w:space="0" w:color="auto"/>
      </w:divBdr>
    </w:div>
    <w:div w:id="21127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FEC3E-4CF6-46C3-B1A1-E534B14D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1764</Words>
  <Characters>10058</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2019-08-05T12:43:00Z</dcterms:created>
  <dcterms:modified xsi:type="dcterms:W3CDTF">2019-08-16T23:44:00Z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